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300"/>
        <w:jc w:val="center"/>
      </w:pPr>
      <w:r>
        <w:rPr>
          <w:b/>
          <w:bCs/>
          <w:sz w:val="36"/>
          <w:szCs w:val="36"/>
        </w:rPr>
        <w:t xml:space="preserve">DĀVINĀJUMA LĪGUMS Nr. {{contract_number}}</w:t>
      </w:r>
    </w:p>
    <w:p>
      <w:pPr>
        <w:spacing w:after="160"/>
      </w:pPr>
      <w:r>
        <w:rPr>
          <w:b w:val="false"/>
          <w:bCs w:val="false"/>
          <w:sz w:val="22"/>
          <w:szCs w:val="22"/>
        </w:rPr>
        <w:t xml:space="preserve">{{contract_location}}, {{contract_date}}</w:t>
      </w:r>
    </w:p>
    <w:p>
      <w:pPr>
        <w:pStyle w:val="Heading1"/>
        <w:spacing w:after="160" w:before="240"/>
      </w:pPr>
      <w:r>
        <w:rPr>
          <w:b/>
          <w:bCs/>
          <w:sz w:val="28"/>
          <w:szCs w:val="28"/>
        </w:rPr>
        <w:t xml:space="preserve">1. LĪGUMA PUSES</w:t>
      </w:r>
    </w:p>
    <w:p>
      <w:pPr>
        <w:spacing w:after="160"/>
      </w:pPr>
      <w:r>
        <w:rPr>
          <w:b/>
          <w:bCs/>
          <w:sz w:val="22"/>
          <w:szCs w:val="22"/>
        </w:rPr>
        <w:t xml:space="preserve">Dāvinātājs: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Vārds, uzvārds / nosaukums</w:t>
            </w:r>
          </w:p>
        </w:tc>
        <w:tc>
          <w:tcPr>
            <w:tcW w:type="pct" w:w="50%"/>
            <w:tcMar>
              <w:top w:type="dxa" w:w="80"/>
              <w:left w:type="dxa" w:w="120"/>
              <w:bottom w:type="dxa" w:w="80"/>
              <w:right w:type="dxa" w:w="120"/>
            </w:tcMar>
          </w:tcPr>
          <w:p>
            <w:pPr>
              <w:spacing w:after="40" w:before="40"/>
            </w:pPr>
            <w:r>
              <w:rPr>
                <w:b w:val="false"/>
                <w:bCs w:val="false"/>
                <w:sz w:val="22"/>
                <w:szCs w:val="22"/>
              </w:rPr>
              <w:t xml:space="preserve">{{donor_name}}</w:t>
            </w:r>
          </w:p>
        </w:tc>
      </w:tr>
      <w:tr>
        <w:tc>
          <w:tcPr>
            <w:tcW w:type="pct" w:w="50%"/>
            <w:tcMar>
              <w:top w:type="dxa" w:w="80"/>
              <w:left w:type="dxa" w:w="120"/>
              <w:bottom w:type="dxa" w:w="80"/>
              <w:right w:type="dxa" w:w="120"/>
            </w:tcMar>
          </w:tcPr>
          <w:p>
            <w:pPr>
              <w:spacing w:after="40" w:before="40"/>
            </w:pPr>
            <w:r>
              <w:rPr>
                <w:b/>
                <w:bCs/>
                <w:sz w:val="22"/>
                <w:szCs w:val="22"/>
              </w:rPr>
              <w:t xml:space="preserve">Personas kods / reģ. Nr.</w:t>
            </w:r>
          </w:p>
        </w:tc>
        <w:tc>
          <w:tcPr>
            <w:tcW w:type="pct" w:w="50%"/>
            <w:tcMar>
              <w:top w:type="dxa" w:w="80"/>
              <w:left w:type="dxa" w:w="120"/>
              <w:bottom w:type="dxa" w:w="80"/>
              <w:right w:type="dxa" w:w="120"/>
            </w:tcMar>
          </w:tcPr>
          <w:p>
            <w:pPr>
              <w:spacing w:after="40" w:before="40"/>
            </w:pPr>
            <w:r>
              <w:rPr>
                <w:b w:val="false"/>
                <w:bCs w:val="false"/>
                <w:sz w:val="22"/>
                <w:szCs w:val="22"/>
              </w:rPr>
              <w:t xml:space="preserve">{{donor_id_code}}</w:t>
            </w:r>
          </w:p>
        </w:tc>
      </w:tr>
      <w:tr>
        <w:tc>
          <w:tcPr>
            <w:tcW w:type="pct" w:w="50%"/>
            <w:tcMar>
              <w:top w:type="dxa" w:w="80"/>
              <w:left w:type="dxa" w:w="120"/>
              <w:bottom w:type="dxa" w:w="80"/>
              <w:right w:type="dxa" w:w="120"/>
            </w:tcMar>
          </w:tcPr>
          <w:p>
            <w:pPr>
              <w:spacing w:after="40" w:before="40"/>
            </w:pPr>
            <w:r>
              <w:rPr>
                <w:b/>
                <w:bCs/>
                <w:sz w:val="22"/>
                <w:szCs w:val="22"/>
              </w:rPr>
              <w:t xml:space="preserve">Adrese</w:t>
            </w:r>
          </w:p>
        </w:tc>
        <w:tc>
          <w:tcPr>
            <w:tcW w:type="pct" w:w="50%"/>
            <w:tcMar>
              <w:top w:type="dxa" w:w="80"/>
              <w:left w:type="dxa" w:w="120"/>
              <w:bottom w:type="dxa" w:w="80"/>
              <w:right w:type="dxa" w:w="120"/>
            </w:tcMar>
          </w:tcPr>
          <w:p>
            <w:pPr>
              <w:spacing w:after="40" w:before="40"/>
            </w:pPr>
            <w:r>
              <w:rPr>
                <w:b w:val="false"/>
                <w:bCs w:val="false"/>
                <w:sz w:val="22"/>
                <w:szCs w:val="22"/>
              </w:rPr>
              <w:t xml:space="preserve">{{donor_address}}</w:t>
            </w:r>
          </w:p>
        </w:tc>
      </w:tr>
      <w:tr>
        <w:tc>
          <w:tcPr>
            <w:tcW w:type="pct" w:w="50%"/>
            <w:tcMar>
              <w:top w:type="dxa" w:w="80"/>
              <w:left w:type="dxa" w:w="120"/>
              <w:bottom w:type="dxa" w:w="80"/>
              <w:right w:type="dxa" w:w="120"/>
            </w:tcMar>
          </w:tcPr>
          <w:p>
            <w:pPr>
              <w:spacing w:after="40" w:before="40"/>
            </w:pPr>
            <w:r>
              <w:rPr>
                <w:b/>
                <w:bCs/>
                <w:sz w:val="22"/>
                <w:szCs w:val="22"/>
              </w:rPr>
              <w:t xml:space="preserve">Tālrunis / e-pasts</w:t>
            </w:r>
          </w:p>
        </w:tc>
        <w:tc>
          <w:tcPr>
            <w:tcW w:type="pct" w:w="50%"/>
            <w:tcMar>
              <w:top w:type="dxa" w:w="80"/>
              <w:left w:type="dxa" w:w="120"/>
              <w:bottom w:type="dxa" w:w="80"/>
              <w:right w:type="dxa" w:w="120"/>
            </w:tcMar>
          </w:tcPr>
          <w:p>
            <w:pPr>
              <w:spacing w:after="40" w:before="40"/>
            </w:pPr>
            <w:r>
              <w:rPr>
                <w:b w:val="false"/>
                <w:bCs w:val="false"/>
                <w:sz w:val="22"/>
                <w:szCs w:val="22"/>
              </w:rPr>
              <w:t xml:space="preserve">{{donor_phone}} / {{donor_email}}</w:t>
            </w:r>
          </w:p>
        </w:tc>
      </w:tr>
      <w:tr>
        <w:tc>
          <w:tcPr>
            <w:tcW w:type="pct" w:w="50%"/>
            <w:tcMar>
              <w:top w:type="dxa" w:w="80"/>
              <w:left w:type="dxa" w:w="120"/>
              <w:bottom w:type="dxa" w:w="80"/>
              <w:right w:type="dxa" w:w="120"/>
            </w:tcMar>
          </w:tcPr>
          <w:p>
            <w:pPr>
              <w:spacing w:after="40" w:before="40"/>
            </w:pPr>
            <w:r>
              <w:rPr>
                <w:b/>
                <w:bCs/>
                <w:sz w:val="22"/>
                <w:szCs w:val="22"/>
              </w:rPr>
              <w:t xml:space="preserve">Pārstāvis (juridiskai personai)</w:t>
            </w:r>
          </w:p>
        </w:tc>
        <w:tc>
          <w:tcPr>
            <w:tcW w:type="pct" w:w="50%"/>
            <w:tcMar>
              <w:top w:type="dxa" w:w="80"/>
              <w:left w:type="dxa" w:w="120"/>
              <w:bottom w:type="dxa" w:w="80"/>
              <w:right w:type="dxa" w:w="120"/>
            </w:tcMar>
          </w:tcPr>
          <w:p>
            <w:pPr>
              <w:spacing w:after="40" w:before="40"/>
            </w:pPr>
            <w:r>
              <w:rPr>
                <w:b w:val="false"/>
                <w:bCs w:val="false"/>
                <w:sz w:val="22"/>
                <w:szCs w:val="22"/>
              </w:rPr>
              <w:t xml:space="preserve">{{donor_representative_name}}</w:t>
            </w:r>
          </w:p>
        </w:tc>
      </w:tr>
    </w:tbl>
    <w:p>
      <w:pPr>
        <w:spacing w:after="120"/>
      </w:pPr>
      <w:r>
        <w:rPr>
          <w:sz w:val="22"/>
          <w:szCs w:val="22"/>
        </w:rPr>
        <w:t xml:space="preserve"/>
      </w:r>
    </w:p>
    <w:p>
      <w:pPr>
        <w:spacing w:after="160"/>
      </w:pPr>
      <w:r>
        <w:rPr>
          <w:b/>
          <w:bCs/>
          <w:sz w:val="22"/>
          <w:szCs w:val="22"/>
        </w:rPr>
        <w:t xml:space="preserve">Apdāvinātais: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Vārds, uzvārds / nosaukums</w:t>
            </w:r>
          </w:p>
        </w:tc>
        <w:tc>
          <w:tcPr>
            <w:tcW w:type="pct" w:w="50%"/>
            <w:tcMar>
              <w:top w:type="dxa" w:w="80"/>
              <w:left w:type="dxa" w:w="120"/>
              <w:bottom w:type="dxa" w:w="80"/>
              <w:right w:type="dxa" w:w="120"/>
            </w:tcMar>
          </w:tcPr>
          <w:p>
            <w:pPr>
              <w:spacing w:after="40" w:before="40"/>
            </w:pPr>
            <w:r>
              <w:rPr>
                <w:b w:val="false"/>
                <w:bCs w:val="false"/>
                <w:sz w:val="22"/>
                <w:szCs w:val="22"/>
              </w:rPr>
              <w:t xml:space="preserve">{{donee_name}}</w:t>
            </w:r>
          </w:p>
        </w:tc>
      </w:tr>
      <w:tr>
        <w:tc>
          <w:tcPr>
            <w:tcW w:type="pct" w:w="50%"/>
            <w:tcMar>
              <w:top w:type="dxa" w:w="80"/>
              <w:left w:type="dxa" w:w="120"/>
              <w:bottom w:type="dxa" w:w="80"/>
              <w:right w:type="dxa" w:w="120"/>
            </w:tcMar>
          </w:tcPr>
          <w:p>
            <w:pPr>
              <w:spacing w:after="40" w:before="40"/>
            </w:pPr>
            <w:r>
              <w:rPr>
                <w:b/>
                <w:bCs/>
                <w:sz w:val="22"/>
                <w:szCs w:val="22"/>
              </w:rPr>
              <w:t xml:space="preserve">Personas kods / reģ. Nr.</w:t>
            </w:r>
          </w:p>
        </w:tc>
        <w:tc>
          <w:tcPr>
            <w:tcW w:type="pct" w:w="50%"/>
            <w:tcMar>
              <w:top w:type="dxa" w:w="80"/>
              <w:left w:type="dxa" w:w="120"/>
              <w:bottom w:type="dxa" w:w="80"/>
              <w:right w:type="dxa" w:w="120"/>
            </w:tcMar>
          </w:tcPr>
          <w:p>
            <w:pPr>
              <w:spacing w:after="40" w:before="40"/>
            </w:pPr>
            <w:r>
              <w:rPr>
                <w:b w:val="false"/>
                <w:bCs w:val="false"/>
                <w:sz w:val="22"/>
                <w:szCs w:val="22"/>
              </w:rPr>
              <w:t xml:space="preserve">{{donee_id_code}}</w:t>
            </w:r>
          </w:p>
        </w:tc>
      </w:tr>
      <w:tr>
        <w:tc>
          <w:tcPr>
            <w:tcW w:type="pct" w:w="50%"/>
            <w:tcMar>
              <w:top w:type="dxa" w:w="80"/>
              <w:left w:type="dxa" w:w="120"/>
              <w:bottom w:type="dxa" w:w="80"/>
              <w:right w:type="dxa" w:w="120"/>
            </w:tcMar>
          </w:tcPr>
          <w:p>
            <w:pPr>
              <w:spacing w:after="40" w:before="40"/>
            </w:pPr>
            <w:r>
              <w:rPr>
                <w:b/>
                <w:bCs/>
                <w:sz w:val="22"/>
                <w:szCs w:val="22"/>
              </w:rPr>
              <w:t xml:space="preserve">Adrese</w:t>
            </w:r>
          </w:p>
        </w:tc>
        <w:tc>
          <w:tcPr>
            <w:tcW w:type="pct" w:w="50%"/>
            <w:tcMar>
              <w:top w:type="dxa" w:w="80"/>
              <w:left w:type="dxa" w:w="120"/>
              <w:bottom w:type="dxa" w:w="80"/>
              <w:right w:type="dxa" w:w="120"/>
            </w:tcMar>
          </w:tcPr>
          <w:p>
            <w:pPr>
              <w:spacing w:after="40" w:before="40"/>
            </w:pPr>
            <w:r>
              <w:rPr>
                <w:b w:val="false"/>
                <w:bCs w:val="false"/>
                <w:sz w:val="22"/>
                <w:szCs w:val="22"/>
              </w:rPr>
              <w:t xml:space="preserve">{{donee_address}}</w:t>
            </w:r>
          </w:p>
        </w:tc>
      </w:tr>
      <w:tr>
        <w:tc>
          <w:tcPr>
            <w:tcW w:type="pct" w:w="50%"/>
            <w:tcMar>
              <w:top w:type="dxa" w:w="80"/>
              <w:left w:type="dxa" w:w="120"/>
              <w:bottom w:type="dxa" w:w="80"/>
              <w:right w:type="dxa" w:w="120"/>
            </w:tcMar>
          </w:tcPr>
          <w:p>
            <w:pPr>
              <w:spacing w:after="40" w:before="40"/>
            </w:pPr>
            <w:r>
              <w:rPr>
                <w:b/>
                <w:bCs/>
                <w:sz w:val="22"/>
                <w:szCs w:val="22"/>
              </w:rPr>
              <w:t xml:space="preserve">Tālrunis / e-pasts</w:t>
            </w:r>
          </w:p>
        </w:tc>
        <w:tc>
          <w:tcPr>
            <w:tcW w:type="pct" w:w="50%"/>
            <w:tcMar>
              <w:top w:type="dxa" w:w="80"/>
              <w:left w:type="dxa" w:w="120"/>
              <w:bottom w:type="dxa" w:w="80"/>
              <w:right w:type="dxa" w:w="120"/>
            </w:tcMar>
          </w:tcPr>
          <w:p>
            <w:pPr>
              <w:spacing w:after="40" w:before="40"/>
            </w:pPr>
            <w:r>
              <w:rPr>
                <w:b w:val="false"/>
                <w:bCs w:val="false"/>
                <w:sz w:val="22"/>
                <w:szCs w:val="22"/>
              </w:rPr>
              <w:t xml:space="preserve">{{donee_phone}} / {{donee_email}}</w:t>
            </w:r>
          </w:p>
        </w:tc>
      </w:tr>
      <w:tr>
        <w:tc>
          <w:tcPr>
            <w:tcW w:type="pct" w:w="50%"/>
            <w:tcMar>
              <w:top w:type="dxa" w:w="80"/>
              <w:left w:type="dxa" w:w="120"/>
              <w:bottom w:type="dxa" w:w="80"/>
              <w:right w:type="dxa" w:w="120"/>
            </w:tcMar>
          </w:tcPr>
          <w:p>
            <w:pPr>
              <w:spacing w:after="40" w:before="40"/>
            </w:pPr>
            <w:r>
              <w:rPr>
                <w:b/>
                <w:bCs/>
                <w:sz w:val="22"/>
                <w:szCs w:val="22"/>
              </w:rPr>
              <w:t xml:space="preserve">Pārstāvis (juridiskai personai)</w:t>
            </w:r>
          </w:p>
        </w:tc>
        <w:tc>
          <w:tcPr>
            <w:tcW w:type="pct" w:w="50%"/>
            <w:tcMar>
              <w:top w:type="dxa" w:w="80"/>
              <w:left w:type="dxa" w:w="120"/>
              <w:bottom w:type="dxa" w:w="80"/>
              <w:right w:type="dxa" w:w="120"/>
            </w:tcMar>
          </w:tcPr>
          <w:p>
            <w:pPr>
              <w:spacing w:after="40" w:before="40"/>
            </w:pPr>
            <w:r>
              <w:rPr>
                <w:b w:val="false"/>
                <w:bCs w:val="false"/>
                <w:sz w:val="22"/>
                <w:szCs w:val="22"/>
              </w:rPr>
              <w:t xml:space="preserve">{{donee_representative_name}}</w:t>
            </w:r>
          </w:p>
        </w:tc>
      </w:tr>
    </w:tbl>
    <w:p>
      <w:pPr>
        <w:spacing w:after="120"/>
      </w:pPr>
      <w:r>
        <w:rPr>
          <w:sz w:val="22"/>
          <w:szCs w:val="22"/>
        </w:rPr>
        <w:t xml:space="preserve"/>
      </w:r>
    </w:p>
    <w:p>
      <w:pPr>
        <w:spacing w:after="160"/>
      </w:pPr>
      <w:r>
        <w:rPr>
          <w:b w:val="false"/>
          <w:bCs w:val="false"/>
          <w:sz w:val="22"/>
          <w:szCs w:val="22"/>
        </w:rPr>
        <w:t xml:space="preserve">Dāvinātājs un Apdāvinātais (turpmāk kopā — „Puses" un katrs atsevišķi — „Puse") noslēdz šo dāvinājuma līgumu (turpmāk — „Līgums") ar tālāk minētajiem noteikumiem. Līgumam piemēro Civillikuma Ceturtās daļas Vienpadsmitās nodaļas „Dāvinājums" (1912.–1933. pants) noteikumus.</w:t>
      </w:r>
    </w:p>
    <w:p>
      <w:pPr>
        <w:pStyle w:val="Heading1"/>
        <w:spacing w:after="160" w:before="240"/>
      </w:pPr>
      <w:r>
        <w:rPr>
          <w:b/>
          <w:bCs/>
          <w:sz w:val="28"/>
          <w:szCs w:val="28"/>
        </w:rPr>
        <w:t xml:space="preserve">2. LĪGUMA PRIEKŠMETS</w:t>
      </w:r>
    </w:p>
    <w:p>
      <w:pPr>
        <w:spacing w:after="160"/>
      </w:pPr>
      <w:r>
        <w:rPr>
          <w:b w:val="false"/>
          <w:bCs w:val="false"/>
          <w:sz w:val="22"/>
          <w:szCs w:val="22"/>
        </w:rPr>
        <w:t xml:space="preserve">2.1. Saskaņā ar šo Līgumu Dāvinātājs aiz devības dāvina un nodod Apdāvinātajam bez atlīdzības šādu mantisku vērtību (turpmāk — „Dāvinājuma priekšmets"):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Dāvinājuma priekšmeta veids</w:t>
            </w:r>
          </w:p>
        </w:tc>
        <w:tc>
          <w:tcPr>
            <w:tcW w:type="pct" w:w="50%"/>
            <w:tcMar>
              <w:top w:type="dxa" w:w="80"/>
              <w:left w:type="dxa" w:w="120"/>
              <w:bottom w:type="dxa" w:w="80"/>
              <w:right w:type="dxa" w:w="120"/>
            </w:tcMar>
          </w:tcPr>
          <w:p>
            <w:pPr>
              <w:spacing w:after="40" w:before="40"/>
            </w:pPr>
            <w:r>
              <w:rPr>
                <w:b w:val="false"/>
                <w:bCs w:val="false"/>
                <w:sz w:val="22"/>
                <w:szCs w:val="22"/>
              </w:rPr>
              <w:t xml:space="preserve">{{gift_type}}</w:t>
            </w:r>
          </w:p>
        </w:tc>
      </w:tr>
      <w:tr>
        <w:tc>
          <w:tcPr>
            <w:tcW w:type="pct" w:w="50%"/>
            <w:tcMar>
              <w:top w:type="dxa" w:w="80"/>
              <w:left w:type="dxa" w:w="120"/>
              <w:bottom w:type="dxa" w:w="80"/>
              <w:right w:type="dxa" w:w="120"/>
            </w:tcMar>
          </w:tcPr>
          <w:p>
            <w:pPr>
              <w:spacing w:after="40" w:before="40"/>
            </w:pPr>
            <w:r>
              <w:rPr>
                <w:b/>
                <w:bCs/>
                <w:sz w:val="22"/>
                <w:szCs w:val="22"/>
              </w:rPr>
              <w:t xml:space="preserve">Apraksts</w:t>
            </w:r>
          </w:p>
        </w:tc>
        <w:tc>
          <w:tcPr>
            <w:tcW w:type="pct" w:w="50%"/>
            <w:tcMar>
              <w:top w:type="dxa" w:w="80"/>
              <w:left w:type="dxa" w:w="120"/>
              <w:bottom w:type="dxa" w:w="80"/>
              <w:right w:type="dxa" w:w="120"/>
            </w:tcMar>
          </w:tcPr>
          <w:p>
            <w:pPr>
              <w:spacing w:after="40" w:before="40"/>
            </w:pPr>
            <w:r>
              <w:rPr>
                <w:b w:val="false"/>
                <w:bCs w:val="false"/>
                <w:sz w:val="22"/>
                <w:szCs w:val="22"/>
              </w:rPr>
              <w:t xml:space="preserve">{{gift_description}}</w:t>
            </w:r>
          </w:p>
        </w:tc>
      </w:tr>
      <w:tr>
        <w:tc>
          <w:tcPr>
            <w:tcW w:type="pct" w:w="50%"/>
            <w:tcMar>
              <w:top w:type="dxa" w:w="80"/>
              <w:left w:type="dxa" w:w="120"/>
              <w:bottom w:type="dxa" w:w="80"/>
              <w:right w:type="dxa" w:w="120"/>
            </w:tcMar>
          </w:tcPr>
          <w:p>
            <w:pPr>
              <w:spacing w:after="40" w:before="40"/>
            </w:pPr>
            <w:r>
              <w:rPr>
                <w:b/>
                <w:bCs/>
                <w:sz w:val="22"/>
                <w:szCs w:val="22"/>
              </w:rPr>
              <w:t xml:space="preserve">Vērtība / naudas summa</w:t>
            </w:r>
          </w:p>
        </w:tc>
        <w:tc>
          <w:tcPr>
            <w:tcW w:type="pct" w:w="50%"/>
            <w:tcMar>
              <w:top w:type="dxa" w:w="80"/>
              <w:left w:type="dxa" w:w="120"/>
              <w:bottom w:type="dxa" w:w="80"/>
              <w:right w:type="dxa" w:w="120"/>
            </w:tcMar>
          </w:tcPr>
          <w:p>
            <w:pPr>
              <w:spacing w:after="40" w:before="40"/>
            </w:pPr>
            <w:r>
              <w:rPr>
                <w:b w:val="false"/>
                <w:bCs w:val="false"/>
                <w:sz w:val="22"/>
                <w:szCs w:val="22"/>
              </w:rPr>
              <w:t xml:space="preserve">{{gift_value_eur}} EUR ({{gift_value_words}})</w:t>
            </w:r>
          </w:p>
        </w:tc>
      </w:tr>
    </w:tbl>
    <w:p>
      <w:pPr>
        <w:spacing w:after="120"/>
      </w:pPr>
      <w:r>
        <w:rPr>
          <w:sz w:val="22"/>
          <w:szCs w:val="22"/>
        </w:rPr>
        <w:t xml:space="preserve"/>
      </w:r>
    </w:p>
    <w:p>
      <w:pPr>
        <w:spacing w:after="160"/>
      </w:pPr>
      <w:r>
        <w:rPr>
          <w:b w:val="false"/>
          <w:bCs w:val="false"/>
          <w:sz w:val="22"/>
          <w:szCs w:val="22"/>
        </w:rPr>
        <w:t xml:space="preserve">2.2. Dāvinātājs apliecina, ka Dāvinājuma priekšmets tiek nodots Apdāvinātajam </w:t>
      </w:r>
      <w:r>
        <w:rPr>
          <w:b/>
          <w:bCs/>
          <w:sz w:val="22"/>
          <w:szCs w:val="22"/>
        </w:rPr>
        <w:t xml:space="preserve">bez atlīdzības, aiz devības</w:t>
      </w:r>
      <w:r>
        <w:rPr>
          <w:b w:val="false"/>
          <w:bCs w:val="false"/>
          <w:sz w:val="22"/>
          <w:szCs w:val="22"/>
        </w:rPr>
        <w:t xml:space="preserve"> Civillikuma 1912. panta izpratnē un Apdāvinātajam nav pienākuma sniegt pretizpildījumu vai Dāvinājuma priekšmetu atdot.</w:t>
      </w:r>
    </w:p>
    <w:p>
      <w:pPr>
        <w:spacing w:after="160"/>
      </w:pPr>
      <w:r>
        <w:rPr>
          <w:b w:val="false"/>
          <w:bCs w:val="false"/>
          <w:sz w:val="22"/>
          <w:szCs w:val="22"/>
        </w:rPr>
        <w:t xml:space="preserve">2.3. Apdāvinātais apliecina, ka viņš ir iepazinies ar Dāvinājuma priekšmetu un </w:t>
      </w:r>
      <w:r>
        <w:rPr>
          <w:b/>
          <w:bCs/>
          <w:sz w:val="22"/>
          <w:szCs w:val="22"/>
        </w:rPr>
        <w:t xml:space="preserve">dāvinājumu pieņem</w:t>
      </w:r>
      <w:r>
        <w:rPr>
          <w:b w:val="false"/>
          <w:bCs w:val="false"/>
          <w:sz w:val="22"/>
          <w:szCs w:val="22"/>
        </w:rPr>
        <w:t xml:space="preserve"> (Civillikuma 1915. pants).</w:t>
      </w:r>
    </w:p>
    <w:p>
      <w:pPr>
        <w:spacing w:after="160"/>
      </w:pPr>
      <w:r>
        <w:rPr>
          <w:b w:val="false"/>
          <w:bCs w:val="false"/>
          <w:sz w:val="22"/>
          <w:szCs w:val="22"/>
        </w:rPr>
        <w:t xml:space="preserve">2.4. Puses var vienoties par mērķi vai uzlikumu, kādā kārtā vai kādam nolūkam Dāvinājuma priekšmets izlietojams (Civillikuma 1928. pants): </w:t>
      </w:r>
      <w:r>
        <w:rPr>
          <w:b/>
          <w:bCs/>
          <w:sz w:val="22"/>
          <w:szCs w:val="22"/>
        </w:rPr>
        <w:t xml:space="preserve">{{gift_purpose}}</w:t>
      </w:r>
      <w:r>
        <w:rPr>
          <w:b w:val="false"/>
          <w:bCs w:val="false"/>
          <w:sz w:val="22"/>
          <w:szCs w:val="22"/>
        </w:rPr>
        <w:t xml:space="preserve">. Ja mērķis vai uzlikums nav noteikts, laukā norāda „nav piemērojams". Uzlikums nepadara dāvinājumu nosacītu (Civillikuma 1929. pants); ja uzlikums netiek izpildīts Apdāvinātā vainas dēļ, Dāvinātājs var prasīt saņemtā atdošanu (Civillikuma 1931. pants).</w:t>
      </w:r>
    </w:p>
    <w:p>
      <w:pPr>
        <w:pStyle w:val="Heading1"/>
        <w:spacing w:after="160" w:before="240"/>
      </w:pPr>
      <w:r>
        <w:rPr>
          <w:b/>
          <w:bCs/>
          <w:sz w:val="28"/>
          <w:szCs w:val="28"/>
        </w:rPr>
        <w:t xml:space="preserve">3. NODOŠANA UN ĪPAŠUMTIESĪBU PĀREJA</w:t>
      </w:r>
    </w:p>
    <w:p>
      <w:pPr>
        <w:spacing w:after="160"/>
      </w:pPr>
      <w:r>
        <w:rPr>
          <w:b w:val="false"/>
          <w:bCs w:val="false"/>
          <w:sz w:val="22"/>
          <w:szCs w:val="22"/>
        </w:rPr>
        <w:t xml:space="preserve">3.1. Dāvinātājs nodod Dāvinājuma priekšmetu Apdāvinātajam ne vēlāk kā </w:t>
      </w:r>
      <w:r>
        <w:rPr>
          <w:b/>
          <w:bCs/>
          <w:sz w:val="22"/>
          <w:szCs w:val="22"/>
        </w:rPr>
        <w:t xml:space="preserve">{{transfer_date}}</w:t>
      </w:r>
      <w:r>
        <w:rPr>
          <w:b w:val="false"/>
          <w:bCs w:val="false"/>
          <w:sz w:val="22"/>
          <w:szCs w:val="22"/>
        </w:rPr>
        <w:t xml:space="preserve"> šādā veidā: </w:t>
      </w:r>
      <w:r>
        <w:rPr>
          <w:b/>
          <w:bCs/>
          <w:sz w:val="22"/>
          <w:szCs w:val="22"/>
        </w:rPr>
        <w:t xml:space="preserve">{{transfer_method}}</w:t>
      </w:r>
      <w:r>
        <w:rPr>
          <w:b w:val="false"/>
          <w:bCs w:val="false"/>
          <w:sz w:val="22"/>
          <w:szCs w:val="22"/>
        </w:rPr>
        <w:t xml:space="preserve">.</w:t>
      </w:r>
    </w:p>
    <w:p>
      <w:pPr>
        <w:spacing w:after="160"/>
      </w:pPr>
      <w:r>
        <w:rPr>
          <w:b w:val="false"/>
          <w:bCs w:val="false"/>
          <w:sz w:val="22"/>
          <w:szCs w:val="22"/>
        </w:rPr>
        <w:t xml:space="preserve">3.2. Naudas dāvinājuma gadījumā Dāvinātājs pārskaita naudu uz Apdāvinātā bankas kontu </w:t>
      </w:r>
      <w:r>
        <w:rPr>
          <w:b/>
          <w:bCs/>
          <w:sz w:val="22"/>
          <w:szCs w:val="22"/>
        </w:rPr>
        <w:t xml:space="preserve">{{donee_bank_account}}</w:t>
      </w:r>
      <w:r>
        <w:rPr>
          <w:b w:val="false"/>
          <w:bCs w:val="false"/>
          <w:sz w:val="22"/>
          <w:szCs w:val="22"/>
        </w:rPr>
        <w:t xml:space="preserve">. Maksājuma mērķī Dāvinātājs norāda atsauci uz šo Līgumu (Līguma numuru un datumu).</w:t>
      </w:r>
    </w:p>
    <w:p>
      <w:pPr>
        <w:spacing w:after="160"/>
      </w:pPr>
      <w:r>
        <w:rPr>
          <w:b w:val="false"/>
          <w:bCs w:val="false"/>
          <w:sz w:val="22"/>
          <w:szCs w:val="22"/>
        </w:rPr>
        <w:t xml:space="preserve">3.3. Īpašumtiesības uz Dāvinājuma priekšmetu pāriet Apdāvinātajam ar kustamas lietas nodošanu (Civillikuma 1917. pants) vai ar naudas summas ieskaitīšanu Apdāvinātā bankas kontā.</w:t>
      </w:r>
    </w:p>
    <w:p>
      <w:pPr>
        <w:spacing w:after="160"/>
      </w:pPr>
      <w:r>
        <w:rPr>
          <w:b w:val="false"/>
          <w:bCs w:val="false"/>
          <w:sz w:val="22"/>
          <w:szCs w:val="22"/>
        </w:rPr>
        <w:t xml:space="preserve">3.4. Puses apzinās, ka fiziskām personām, kuras neveic saimniecisko darbību, </w:t>
      </w:r>
      <w:r>
        <w:rPr>
          <w:b/>
          <w:bCs/>
          <w:sz w:val="22"/>
          <w:szCs w:val="22"/>
        </w:rPr>
        <w:t xml:space="preserve">skaidras naudas darījumi virs 7 200 EUR ir aizliegti</w:t>
      </w:r>
      <w:r>
        <w:rPr>
          <w:b w:val="false"/>
          <w:bCs w:val="false"/>
          <w:sz w:val="22"/>
          <w:szCs w:val="22"/>
        </w:rPr>
        <w:t xml:space="preserve"> (likuma „Par nodokļiem un nodevām" 30. pants). Naudas dāvinājumu, kas pārsniedz šo summu, Puses veic tikai ar bankas pārskaitījumu.</w:t>
      </w:r>
    </w:p>
    <w:p>
      <w:pPr>
        <w:spacing w:after="160"/>
      </w:pPr>
      <w:r>
        <w:rPr>
          <w:b w:val="false"/>
          <w:bCs w:val="false"/>
          <w:sz w:val="22"/>
          <w:szCs w:val="22"/>
        </w:rPr>
        <w:t xml:space="preserve">3.5. Līdz nodošanai Dāvinātājs glabā Dāvinājuma priekšmetu ar pienācīgu rūpību. Dāvinātājam nav pienākuma maksāt nokavējuma procentus vai izdot augļus, ko viņš no Dāvinājuma priekšmeta saņēmis (Civillikuma 1916. pants).</w:t>
      </w:r>
    </w:p>
    <w:p>
      <w:pPr>
        <w:pStyle w:val="Heading1"/>
        <w:spacing w:after="160" w:before="240"/>
      </w:pPr>
      <w:r>
        <w:rPr>
          <w:b/>
          <w:bCs/>
          <w:sz w:val="28"/>
          <w:szCs w:val="28"/>
        </w:rPr>
        <w:t xml:space="preserve">4. DĀVINĀTĀJA APLIECINĀJUMI</w:t>
      </w:r>
    </w:p>
    <w:p>
      <w:pPr>
        <w:spacing w:after="160"/>
      </w:pPr>
      <w:r>
        <w:rPr>
          <w:b w:val="false"/>
          <w:bCs w:val="false"/>
          <w:sz w:val="22"/>
          <w:szCs w:val="22"/>
        </w:rPr>
        <w:t xml:space="preserve">4.1. Dāvinātājs apliecina, ka Dāvinājuma priekšmets pieder viņam un viņam ir tiesības ar to brīvi rīkoties.</w:t>
      </w:r>
    </w:p>
    <w:p>
      <w:pPr>
        <w:spacing w:after="160"/>
      </w:pPr>
      <w:r>
        <w:rPr>
          <w:b w:val="false"/>
          <w:bCs w:val="false"/>
          <w:sz w:val="22"/>
          <w:szCs w:val="22"/>
        </w:rPr>
        <w:t xml:space="preserve">4.2. Dāvinātājs apliecina, ka Dāvinājuma priekšmets nav ieķīlāts, arestēts vai apgrūtināts ar trešo personu tiesībām un par to nenotiek tiesvedība vai izpildu lietvedība. Puses apzinās, ka visas uz dāvināto lietu gulošās nastas un apgrūtinājumi jānes Apdāvinātajam (Civillikuma 1917. pants).</w:t>
      </w:r>
    </w:p>
    <w:p>
      <w:pPr>
        <w:spacing w:after="160"/>
      </w:pPr>
      <w:r>
        <w:rPr>
          <w:b w:val="false"/>
          <w:bCs w:val="false"/>
          <w:sz w:val="22"/>
          <w:szCs w:val="22"/>
        </w:rPr>
        <w:t xml:space="preserve">4.3. Dāvinātājs apliecina, ka viņam zināmu slēptu trūkumu Dāvinājuma priekšmetam nav. Apdāvinātais pieņem Dāvinājuma priekšmetu tādu, kāds tas ir nodošanas brīdī. Puses apzinās, ka par Dāvinājuma priekšmeta trūkumiem, bojāeju vai attiesājumu Dāvinātājs atbild tikai tad, ja viņš tādu atbildību noteikti uzņēmies vai pielaidis ļaunprātību vai rupju neuzmanību (Civillikuma 1917. pants).</w:t>
      </w:r>
    </w:p>
    <w:p>
      <w:pPr>
        <w:spacing w:after="160"/>
      </w:pPr>
      <w:r>
        <w:rPr>
          <w:b w:val="false"/>
          <w:bCs w:val="false"/>
          <w:sz w:val="22"/>
          <w:szCs w:val="22"/>
        </w:rPr>
        <w:t xml:space="preserve">4.4. Dāvinātājs apliecina, ka viņš ir maksātspējīgs un dāvinājums nekaitē viņa kreditoru interesēm. Puses apzinās, ka maksātnespējas procesā administrators var apstrīdēt darījumus, kas noslēgti trīs gadu laikā pirms maksātnespējas procesa pasludināšanas, un celt prasību par dāvinātās mantas atdošanu (Maksātnespējas likuma 96. un 97. pants, Civillikuma 1927. pants).</w:t>
      </w:r>
    </w:p>
    <w:p>
      <w:pPr>
        <w:spacing w:after="160"/>
      </w:pPr>
      <w:r>
        <w:rPr>
          <w:b w:val="false"/>
          <w:bCs w:val="false"/>
          <w:sz w:val="22"/>
          <w:szCs w:val="22"/>
        </w:rPr>
        <w:t xml:space="preserve">4.5. Dāvinātājs apliecina, ka Dāvinājuma priekšmets neietilpst laulāto kopīgajā mantā vai ka viņa laulātais ir devis piekrišanu dāvinājumam saskaņā ar Līguma 6.2. punktu.</w:t>
      </w:r>
    </w:p>
    <w:p>
      <w:pPr>
        <w:pStyle w:val="Heading1"/>
        <w:spacing w:after="160" w:before="240"/>
      </w:pPr>
      <w:r>
        <w:rPr>
          <w:b/>
          <w:bCs/>
          <w:sz w:val="28"/>
          <w:szCs w:val="28"/>
        </w:rPr>
        <w:t xml:space="preserve">5. DĀVINĀJUMA ATSAUKŠANA</w:t>
      </w:r>
    </w:p>
    <w:p>
      <w:pPr>
        <w:spacing w:after="160"/>
      </w:pPr>
      <w:r>
        <w:rPr>
          <w:b w:val="false"/>
          <w:bCs w:val="false"/>
          <w:sz w:val="22"/>
          <w:szCs w:val="22"/>
        </w:rPr>
        <w:t xml:space="preserve">5.1. Dāvinātājs var atsaukt dāvinājumu Apdāvinātā </w:t>
      </w:r>
      <w:r>
        <w:rPr>
          <w:b/>
          <w:bCs/>
          <w:sz w:val="22"/>
          <w:szCs w:val="22"/>
        </w:rPr>
        <w:t xml:space="preserve">rupjas nepateicības</w:t>
      </w:r>
      <w:r>
        <w:rPr>
          <w:b w:val="false"/>
          <w:bCs w:val="false"/>
          <w:sz w:val="22"/>
          <w:szCs w:val="22"/>
        </w:rPr>
        <w:t xml:space="preserve"> dēļ (Civillikuma 1919. pants). Par rupju nepateicību atzīstami Dāvinātāja rupji apvainojumi vārdos vai darbos, viņam tīši nodarīts svarīgs mantisks zaudējums, viņa dzīvības apdraudējums, kā arī viņa atstāšana bezpalīdzības stāvoklī, ja bijis iespējams viņam palīdzēt.</w:t>
      </w:r>
    </w:p>
    <w:p>
      <w:pPr>
        <w:spacing w:after="160"/>
      </w:pPr>
      <w:r>
        <w:rPr>
          <w:b w:val="false"/>
          <w:bCs w:val="false"/>
          <w:sz w:val="22"/>
          <w:szCs w:val="22"/>
        </w:rPr>
        <w:t xml:space="preserve">5.2. Atsaukšanas tiesība nepateicības dēļ nepāriet uz Dāvinātāja mantiniekiem un nav vēršama pret Apdāvinātā mantiniekiem; Dāvinātājs var celt tikai personisku prasību par dāvanas atdošanu, un starplaikā nodibinātās trešo personu tiesības paliek spēkā (Civillikuma 1920. pants).</w:t>
      </w:r>
    </w:p>
    <w:p>
      <w:pPr>
        <w:spacing w:after="160"/>
      </w:pPr>
      <w:r>
        <w:rPr>
          <w:b w:val="false"/>
          <w:bCs w:val="false"/>
          <w:sz w:val="22"/>
          <w:szCs w:val="22"/>
        </w:rPr>
        <w:t xml:space="preserve">5.3. Ja bezbērnu Dāvinātājam vēlāk piedzimst bērni, viņš var atsaukt dāvinājumu tiktāl, cik tas vajadzīgs vēlāk dzimušo bērnu neatņemamajām daļām (Civillikuma 1923. pants). Laulāto starpā izdarītu dāvinājumu Dāvinātājs var atsaukt Civillikuma 1924. pantā noteiktajos gadījumos </w:t>
      </w:r>
      <w:r>
        <w:rPr>
          <w:b/>
          <w:bCs/>
          <w:sz w:val="22"/>
          <w:szCs w:val="22"/>
        </w:rPr>
        <w:t xml:space="preserve">viena gada laikā</w:t>
      </w:r>
      <w:r>
        <w:rPr>
          <w:b w:val="false"/>
          <w:bCs w:val="false"/>
          <w:sz w:val="22"/>
          <w:szCs w:val="22"/>
        </w:rPr>
        <w:t xml:space="preserve"> no attiecīgā notikuma.</w:t>
      </w:r>
    </w:p>
    <w:p>
      <w:pPr>
        <w:spacing w:after="160"/>
      </w:pPr>
      <w:r>
        <w:rPr>
          <w:b w:val="false"/>
          <w:bCs w:val="false"/>
          <w:sz w:val="22"/>
          <w:szCs w:val="22"/>
        </w:rPr>
        <w:t xml:space="preserve">5.4. Puses apzinās, ka tad, ja dāvinājums izdarīts pēdējo piecu gadu laikā pirms mantojuma atklāšanās tādā apmērā, ka Dāvinātāja neatņemamās daļas tiesīgajiem neatliek viņu neatņemamās daļas, viņi var prasīt no Apdāvinātā šo daļu izdošanu (Civillikuma 1922. pants).</w:t>
      </w:r>
    </w:p>
    <w:p>
      <w:pPr>
        <w:spacing w:after="160"/>
      </w:pPr>
      <w:r>
        <w:rPr>
          <w:b w:val="false"/>
          <w:bCs w:val="false"/>
          <w:sz w:val="22"/>
          <w:szCs w:val="22"/>
        </w:rPr>
        <w:t xml:space="preserve">5.5. Šī Līguma sadaļa ir informatīva un neierobežo un nepaplašina Pušu likumiskās tiesības. Puses apzinās, ka </w:t>
      </w:r>
      <w:r>
        <w:rPr>
          <w:b/>
          <w:bCs/>
          <w:sz w:val="22"/>
          <w:szCs w:val="22"/>
        </w:rPr>
        <w:t xml:space="preserve">iepriekšēja atteikšanās no tiesības atsaukt dāvinājumu nepateicības dēļ nav spēkā</w:t>
      </w:r>
      <w:r>
        <w:rPr>
          <w:b w:val="false"/>
          <w:bCs w:val="false"/>
          <w:sz w:val="22"/>
          <w:szCs w:val="22"/>
        </w:rPr>
        <w:t xml:space="preserve"> (Civillikuma 1921. pants).</w:t>
      </w:r>
    </w:p>
    <w:p>
      <w:pPr>
        <w:pStyle w:val="Heading1"/>
        <w:spacing w:after="160" w:before="240"/>
      </w:pPr>
      <w:r>
        <w:rPr>
          <w:b/>
          <w:bCs/>
          <w:sz w:val="28"/>
          <w:szCs w:val="28"/>
        </w:rPr>
        <w:t xml:space="preserve">6. ĪPAŠIE NOTEIKUMI</w:t>
      </w:r>
    </w:p>
    <w:p>
      <w:pPr>
        <w:pStyle w:val="Heading2"/>
        <w:spacing w:after="120" w:before="180"/>
      </w:pPr>
      <w:r>
        <w:rPr>
          <w:b/>
          <w:bCs/>
          <w:sz w:val="24"/>
          <w:szCs w:val="24"/>
        </w:rPr>
        <w:t xml:space="preserve">6.1. Transportlīdzekļa īpašie noteikumi</w:t>
      </w:r>
    </w:p>
    <w:p>
      <w:pPr>
        <w:spacing w:after="160"/>
      </w:pPr>
      <w:r>
        <w:rPr>
          <w:b w:val="false"/>
          <w:bCs w:val="false"/>
          <w:sz w:val="22"/>
          <w:szCs w:val="22"/>
        </w:rPr>
        <w:t xml:space="preserve">Šis 6.1. punkts piemērojams, ja Dāvinājuma priekšmets ir transportlīdzeklis.</w:t>
      </w:r>
    </w:p>
    <w:p>
      <w:pPr>
        <w:spacing w:after="160"/>
      </w:pPr>
      <w:r>
        <w:rPr>
          <w:b w:val="false"/>
          <w:bCs w:val="false"/>
          <w:sz w:val="22"/>
          <w:szCs w:val="22"/>
        </w:rPr>
        <w:t xml:space="preserve">6.1.1. Transportlīdzekļa dati: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Marka un modelis</w:t>
            </w:r>
          </w:p>
        </w:tc>
        <w:tc>
          <w:tcPr>
            <w:tcW w:type="pct" w:w="50%"/>
            <w:tcMar>
              <w:top w:type="dxa" w:w="80"/>
              <w:left w:type="dxa" w:w="120"/>
              <w:bottom w:type="dxa" w:w="80"/>
              <w:right w:type="dxa" w:w="120"/>
            </w:tcMar>
          </w:tcPr>
          <w:p>
            <w:pPr>
              <w:spacing w:after="40" w:before="40"/>
            </w:pPr>
            <w:r>
              <w:rPr>
                <w:b w:val="false"/>
                <w:bCs w:val="false"/>
                <w:sz w:val="22"/>
                <w:szCs w:val="22"/>
              </w:rPr>
              <w:t xml:space="preserve">{{vehicle_make_model}}</w:t>
            </w:r>
          </w:p>
        </w:tc>
      </w:tr>
      <w:tr>
        <w:tc>
          <w:tcPr>
            <w:tcW w:type="pct" w:w="50%"/>
            <w:tcMar>
              <w:top w:type="dxa" w:w="80"/>
              <w:left w:type="dxa" w:w="120"/>
              <w:bottom w:type="dxa" w:w="80"/>
              <w:right w:type="dxa" w:w="120"/>
            </w:tcMar>
          </w:tcPr>
          <w:p>
            <w:pPr>
              <w:spacing w:after="40" w:before="40"/>
            </w:pPr>
            <w:r>
              <w:rPr>
                <w:b/>
                <w:bCs/>
                <w:sz w:val="22"/>
                <w:szCs w:val="22"/>
              </w:rPr>
              <w:t xml:space="preserve">Valsts reģistrācijas numurs</w:t>
            </w:r>
          </w:p>
        </w:tc>
        <w:tc>
          <w:tcPr>
            <w:tcW w:type="pct" w:w="50%"/>
            <w:tcMar>
              <w:top w:type="dxa" w:w="80"/>
              <w:left w:type="dxa" w:w="120"/>
              <w:bottom w:type="dxa" w:w="80"/>
              <w:right w:type="dxa" w:w="120"/>
            </w:tcMar>
          </w:tcPr>
          <w:p>
            <w:pPr>
              <w:spacing w:after="40" w:before="40"/>
            </w:pPr>
            <w:r>
              <w:rPr>
                <w:b w:val="false"/>
                <w:bCs w:val="false"/>
                <w:sz w:val="22"/>
                <w:szCs w:val="22"/>
              </w:rPr>
              <w:t xml:space="preserve">{{vehicle_reg_number}}</w:t>
            </w:r>
          </w:p>
        </w:tc>
      </w:tr>
      <w:tr>
        <w:tc>
          <w:tcPr>
            <w:tcW w:type="pct" w:w="50%"/>
            <w:tcMar>
              <w:top w:type="dxa" w:w="80"/>
              <w:left w:type="dxa" w:w="120"/>
              <w:bottom w:type="dxa" w:w="80"/>
              <w:right w:type="dxa" w:w="120"/>
            </w:tcMar>
          </w:tcPr>
          <w:p>
            <w:pPr>
              <w:spacing w:after="40" w:before="40"/>
            </w:pPr>
            <w:r>
              <w:rPr>
                <w:b/>
                <w:bCs/>
                <w:sz w:val="22"/>
                <w:szCs w:val="22"/>
              </w:rPr>
              <w:t xml:space="preserve">VIN kods</w:t>
            </w:r>
          </w:p>
        </w:tc>
        <w:tc>
          <w:tcPr>
            <w:tcW w:type="pct" w:w="50%"/>
            <w:tcMar>
              <w:top w:type="dxa" w:w="80"/>
              <w:left w:type="dxa" w:w="120"/>
              <w:bottom w:type="dxa" w:w="80"/>
              <w:right w:type="dxa" w:w="120"/>
            </w:tcMar>
          </w:tcPr>
          <w:p>
            <w:pPr>
              <w:spacing w:after="40" w:before="40"/>
            </w:pPr>
            <w:r>
              <w:rPr>
                <w:b w:val="false"/>
                <w:bCs w:val="false"/>
                <w:sz w:val="22"/>
                <w:szCs w:val="22"/>
              </w:rPr>
              <w:t xml:space="preserve">{{vehicle_vin}}</w:t>
            </w:r>
          </w:p>
        </w:tc>
      </w:tr>
      <w:tr>
        <w:tc>
          <w:tcPr>
            <w:tcW w:type="pct" w:w="50%"/>
            <w:tcMar>
              <w:top w:type="dxa" w:w="80"/>
              <w:left w:type="dxa" w:w="120"/>
              <w:bottom w:type="dxa" w:w="80"/>
              <w:right w:type="dxa" w:w="120"/>
            </w:tcMar>
          </w:tcPr>
          <w:p>
            <w:pPr>
              <w:spacing w:after="40" w:before="40"/>
            </w:pPr>
            <w:r>
              <w:rPr>
                <w:b/>
                <w:bCs/>
                <w:sz w:val="22"/>
                <w:szCs w:val="22"/>
              </w:rPr>
              <w:t xml:space="preserve">Izlaiduma gads</w:t>
            </w:r>
          </w:p>
        </w:tc>
        <w:tc>
          <w:tcPr>
            <w:tcW w:type="pct" w:w="50%"/>
            <w:tcMar>
              <w:top w:type="dxa" w:w="80"/>
              <w:left w:type="dxa" w:w="120"/>
              <w:bottom w:type="dxa" w:w="80"/>
              <w:right w:type="dxa" w:w="120"/>
            </w:tcMar>
          </w:tcPr>
          <w:p>
            <w:pPr>
              <w:spacing w:after="40" w:before="40"/>
            </w:pPr>
            <w:r>
              <w:rPr>
                <w:b w:val="false"/>
                <w:bCs w:val="false"/>
                <w:sz w:val="22"/>
                <w:szCs w:val="22"/>
              </w:rPr>
              <w:t xml:space="preserve">{{vehicle_year}}</w:t>
            </w:r>
          </w:p>
        </w:tc>
      </w:tr>
      <w:tr>
        <w:tc>
          <w:tcPr>
            <w:tcW w:type="pct" w:w="50%"/>
            <w:tcMar>
              <w:top w:type="dxa" w:w="80"/>
              <w:left w:type="dxa" w:w="120"/>
              <w:bottom w:type="dxa" w:w="80"/>
              <w:right w:type="dxa" w:w="120"/>
            </w:tcMar>
          </w:tcPr>
          <w:p>
            <w:pPr>
              <w:spacing w:after="40" w:before="40"/>
            </w:pPr>
            <w:r>
              <w:rPr>
                <w:b/>
                <w:bCs/>
                <w:sz w:val="22"/>
                <w:szCs w:val="22"/>
              </w:rPr>
              <w:t xml:space="preserve">Nobraukums (km)</w:t>
            </w:r>
          </w:p>
        </w:tc>
        <w:tc>
          <w:tcPr>
            <w:tcW w:type="pct" w:w="50%"/>
            <w:tcMar>
              <w:top w:type="dxa" w:w="80"/>
              <w:left w:type="dxa" w:w="120"/>
              <w:bottom w:type="dxa" w:w="80"/>
              <w:right w:type="dxa" w:w="120"/>
            </w:tcMar>
          </w:tcPr>
          <w:p>
            <w:pPr>
              <w:spacing w:after="40" w:before="40"/>
            </w:pPr>
            <w:r>
              <w:rPr>
                <w:b w:val="false"/>
                <w:bCs w:val="false"/>
                <w:sz w:val="22"/>
                <w:szCs w:val="22"/>
              </w:rPr>
              <w:t xml:space="preserve">{{vehicle_mileage}}</w:t>
            </w:r>
          </w:p>
        </w:tc>
      </w:tr>
    </w:tbl>
    <w:p>
      <w:pPr>
        <w:spacing w:after="120"/>
      </w:pPr>
      <w:r>
        <w:rPr>
          <w:sz w:val="22"/>
          <w:szCs w:val="22"/>
        </w:rPr>
        <w:t xml:space="preserve"/>
      </w:r>
    </w:p>
    <w:p>
      <w:pPr>
        <w:spacing w:after="160"/>
      </w:pPr>
      <w:r>
        <w:rPr>
          <w:b w:val="false"/>
          <w:bCs w:val="false"/>
          <w:sz w:val="22"/>
          <w:szCs w:val="22"/>
        </w:rPr>
        <w:t xml:space="preserve">6.1.2. Apdāvinātais apņemas reģistrēt transportlīdzekļa īpašnieka maiņu CSDD ne vēlāk kā </w:t>
      </w:r>
      <w:r>
        <w:rPr>
          <w:b/>
          <w:bCs/>
          <w:sz w:val="22"/>
          <w:szCs w:val="22"/>
        </w:rPr>
        <w:t xml:space="preserve">{{reregistration_deadline}}</w:t>
      </w:r>
      <w:r>
        <w:rPr>
          <w:b w:val="false"/>
          <w:bCs w:val="false"/>
          <w:sz w:val="22"/>
          <w:szCs w:val="22"/>
        </w:rPr>
        <w:t xml:space="preserve"> (normatīvajos aktos noteiktais termiņš — 5 dienas pēc īpašumtiesību maiņas). Pārreģistrācijas izmaksas sedz </w:t>
      </w:r>
      <w:r>
        <w:rPr>
          <w:b/>
          <w:bCs/>
          <w:sz w:val="22"/>
          <w:szCs w:val="22"/>
        </w:rPr>
        <w:t xml:space="preserve">{{reregistration_costs_payer}}</w:t>
      </w:r>
      <w:r>
        <w:rPr>
          <w:b w:val="false"/>
          <w:bCs w:val="false"/>
          <w:sz w:val="22"/>
          <w:szCs w:val="22"/>
        </w:rPr>
        <w:t xml:space="preserve">.</w:t>
      </w:r>
    </w:p>
    <w:p>
      <w:pPr>
        <w:spacing w:after="160"/>
      </w:pPr>
      <w:r>
        <w:rPr>
          <w:b w:val="false"/>
          <w:bCs w:val="false"/>
          <w:sz w:val="22"/>
          <w:szCs w:val="22"/>
        </w:rPr>
        <w:t xml:space="preserve">6.1.3. Puses apzinās, ka līdz īpašnieka maiņas reģistrācijai CSDD reģistrā par transportlīdzekļa īpašnieku uzskatāms Dāvinātājs un ar transportlīdzekli saistītie nodokļi, sodi un pienākumi var palikt Dāvinātāja vārdā. Puses apņemas apstiprināt īpašnieka maiņu elektroniski e-CSDD sistēmā; ja īpašnieka maiņu noformē tikai Apdāvinātais viens pats, CSDD pieprasa zvērināta notāra vai citas Civillikuma 1474. pantā norādītās personas apliecinātu līgumu.</w:t>
      </w:r>
    </w:p>
    <w:p>
      <w:pPr>
        <w:pStyle w:val="Heading2"/>
        <w:spacing w:after="120" w:before="180"/>
      </w:pPr>
      <w:r>
        <w:rPr>
          <w:b/>
          <w:bCs/>
          <w:sz w:val="24"/>
          <w:szCs w:val="24"/>
        </w:rPr>
        <w:t xml:space="preserve">6.2. Laulātā piekrišana</w:t>
      </w:r>
    </w:p>
    <w:p>
      <w:pPr>
        <w:spacing w:after="160"/>
      </w:pPr>
      <w:r>
        <w:rPr>
          <w:b w:val="false"/>
          <w:bCs w:val="false"/>
          <w:sz w:val="22"/>
          <w:szCs w:val="22"/>
        </w:rPr>
        <w:t xml:space="preserve">Šis 6.2. punkts piemērojams, ja Dāvinājuma priekšmets ietilpst laulāto kopīgajā mantā.</w:t>
      </w:r>
    </w:p>
    <w:p>
      <w:pPr>
        <w:spacing w:after="160"/>
      </w:pPr>
      <w:r>
        <w:rPr>
          <w:b w:val="false"/>
          <w:bCs w:val="false"/>
          <w:sz w:val="22"/>
          <w:szCs w:val="22"/>
        </w:rPr>
        <w:t xml:space="preserve">6.2.1. Dāvinātāja laulātais </w:t>
      </w:r>
      <w:r>
        <w:rPr>
          <w:b/>
          <w:bCs/>
          <w:sz w:val="22"/>
          <w:szCs w:val="22"/>
        </w:rPr>
        <w:t xml:space="preserve">{{donor_spouse_name}}</w:t>
      </w:r>
      <w:r>
        <w:rPr>
          <w:b w:val="false"/>
          <w:bCs w:val="false"/>
          <w:sz w:val="22"/>
          <w:szCs w:val="22"/>
        </w:rPr>
        <w:t xml:space="preserve"> (personas kods {{donor_spouse_id_code}}) dod piekrišanu Dāvinājuma priekšmeta dāvināšanai ar šajā Līgumā noteiktajiem noteikumiem un apliecina to, parakstot Līgumu.</w:t>
      </w:r>
    </w:p>
    <w:p>
      <w:pPr>
        <w:pStyle w:val="Heading2"/>
        <w:spacing w:after="120" w:before="180"/>
      </w:pPr>
      <w:r>
        <w:rPr>
          <w:b/>
          <w:bCs/>
          <w:sz w:val="24"/>
          <w:szCs w:val="24"/>
        </w:rPr>
        <w:t xml:space="preserve">6.3. Formas prasību apzināšanās</w:t>
      </w:r>
    </w:p>
    <w:p>
      <w:pPr>
        <w:spacing w:after="160"/>
      </w:pPr>
      <w:r>
        <w:rPr>
          <w:b w:val="false"/>
          <w:bCs w:val="false"/>
          <w:sz w:val="22"/>
          <w:szCs w:val="22"/>
        </w:rPr>
        <w:t xml:space="preserve">6.3.1. Puses apliecina, ka tās apzinās, ka </w:t>
      </w:r>
      <w:r>
        <w:rPr>
          <w:b/>
          <w:bCs/>
          <w:sz w:val="22"/>
          <w:szCs w:val="22"/>
        </w:rPr>
        <w:t xml:space="preserve">nekustamā īpašuma</w:t>
      </w:r>
      <w:r>
        <w:rPr>
          <w:b w:val="false"/>
          <w:bCs w:val="false"/>
          <w:sz w:val="22"/>
          <w:szCs w:val="22"/>
        </w:rPr>
        <w:t xml:space="preserve"> (zemes, dzīvokļa, mājas) dāvinājumam nepieciešama </w:t>
      </w:r>
      <w:r>
        <w:rPr>
          <w:b/>
          <w:bCs/>
          <w:sz w:val="22"/>
          <w:szCs w:val="22"/>
        </w:rPr>
        <w:t xml:space="preserve">rakstiska forma un īpašumtiesību nostiprināšana zemesgrāmatā</w:t>
      </w:r>
      <w:r>
        <w:rPr>
          <w:b w:val="false"/>
          <w:bCs w:val="false"/>
          <w:sz w:val="22"/>
          <w:szCs w:val="22"/>
        </w:rPr>
        <w:t xml:space="preserve"> ar notariāli apliecinātu nostiprinājuma lūgumu; bez nostiprināšanas zemesgrāmatā īpašumtiesības uz nekustamo īpašumu nepāriet (Civillikuma 1477. pants). Šī Līguma veidne nekustamā īpašuma dāvinājumam </w:t>
      </w:r>
      <w:r>
        <w:rPr>
          <w:b/>
          <w:bCs/>
          <w:sz w:val="22"/>
          <w:szCs w:val="22"/>
        </w:rPr>
        <w:t xml:space="preserve">nav piemērota</w:t>
      </w:r>
      <w:r>
        <w:rPr>
          <w:b w:val="false"/>
          <w:bCs w:val="false"/>
          <w:sz w:val="22"/>
          <w:szCs w:val="22"/>
        </w:rPr>
        <w:t xml:space="preserve"> — Pusēm jāvēršas pie zvērināta notāra.</w:t>
      </w:r>
    </w:p>
    <w:p>
      <w:pPr>
        <w:spacing w:after="160"/>
      </w:pPr>
      <w:r>
        <w:rPr>
          <w:b w:val="false"/>
          <w:bCs w:val="false"/>
          <w:sz w:val="22"/>
          <w:szCs w:val="22"/>
        </w:rPr>
        <w:t xml:space="preserve">6.3.2. Puses apzinās, ka SIA kapitāla daļas atsavināšanas darījums slēdzams rakstveidā un daļu dāvināt drīkst tikai ar dalībnieku lēmumā izteiktu piekrišanu, ja statūtos nav noteikts citādi (Komerclikuma 188. pants), kā arī jāveic izmaiņas dalībnieku reģistrā.</w:t>
      </w:r>
    </w:p>
    <w:p>
      <w:pPr>
        <w:spacing w:after="160"/>
      </w:pPr>
      <w:r>
        <w:rPr>
          <w:b w:val="false"/>
          <w:bCs w:val="false"/>
          <w:sz w:val="22"/>
          <w:szCs w:val="22"/>
        </w:rPr>
        <w:t xml:space="preserve">6.3.3. Šis Līgums nav paredzēts dāvinājumam Dāvinātāja nāves gadījumam. Dāvināt var tikai tagadējo, ne nākamo mantu (Civillikuma 1926. pants); rīkojumam ar mantu nāves gadījumam izmantojami mantojuma tiesību instrumenti, un Pusēm jāvēršas pie zvērināta notāra.</w:t>
      </w:r>
    </w:p>
    <w:p>
      <w:pPr>
        <w:pStyle w:val="Heading1"/>
        <w:spacing w:after="160" w:before="240"/>
      </w:pPr>
      <w:r>
        <w:rPr>
          <w:b/>
          <w:bCs/>
          <w:sz w:val="28"/>
          <w:szCs w:val="28"/>
        </w:rPr>
        <w:t xml:space="preserve">7. NOSLĒGUMA NOTEIKUMI</w:t>
      </w:r>
    </w:p>
    <w:p>
      <w:pPr>
        <w:spacing w:after="160"/>
      </w:pPr>
      <w:r>
        <w:rPr>
          <w:b w:val="false"/>
          <w:bCs w:val="false"/>
          <w:sz w:val="22"/>
          <w:szCs w:val="22"/>
        </w:rPr>
        <w:t xml:space="preserve">7.1. Puses savstarpējos paziņojumus nosūta uz Līguma 1. punktā norādīto kontaktinformāciju. Paziņojums uzskatāms par saņemtu, ja tas nosūtīts uz e-pasta adresi — nosūtīšanas dienā (ja nav saņemts kļūdas paziņojums), vai ar ierakstītu vēstuli — trešajā darbdienā pēc nosūtīšanas.</w:t>
      </w:r>
    </w:p>
    <w:p>
      <w:pPr>
        <w:spacing w:after="160"/>
      </w:pPr>
      <w:r>
        <w:rPr>
          <w:b w:val="false"/>
          <w:bCs w:val="false"/>
          <w:sz w:val="22"/>
          <w:szCs w:val="22"/>
        </w:rPr>
        <w:t xml:space="preserve">7.2. Strīdus, kas izriet no šī Līguma, Puses risina pārrunu ceļā. Ja vienošanās netiek panākta, strīdus izskata </w:t>
      </w:r>
      <w:r>
        <w:rPr>
          <w:b/>
          <w:bCs/>
          <w:sz w:val="22"/>
          <w:szCs w:val="22"/>
        </w:rPr>
        <w:t xml:space="preserve">{{dispute_forum}}</w:t>
      </w:r>
      <w:r>
        <w:rPr>
          <w:b w:val="false"/>
          <w:bCs w:val="false"/>
          <w:sz w:val="22"/>
          <w:szCs w:val="22"/>
        </w:rPr>
        <w:t xml:space="preserve">.</w:t>
      </w:r>
    </w:p>
    <w:p>
      <w:pPr>
        <w:spacing w:after="160"/>
      </w:pPr>
      <w:r>
        <w:rPr>
          <w:b w:val="false"/>
          <w:bCs w:val="false"/>
          <w:sz w:val="22"/>
          <w:szCs w:val="22"/>
        </w:rPr>
        <w:t xml:space="preserve">7.3. Šim Līgumam piemēro </w:t>
      </w:r>
      <w:r>
        <w:rPr>
          <w:b/>
          <w:bCs/>
          <w:sz w:val="22"/>
          <w:szCs w:val="22"/>
        </w:rPr>
        <w:t xml:space="preserve">Latvijas Republikas tiesības</w:t>
      </w:r>
      <w:r>
        <w:rPr>
          <w:b w:val="false"/>
          <w:bCs w:val="false"/>
          <w:sz w:val="22"/>
          <w:szCs w:val="22"/>
        </w:rPr>
        <w:t xml:space="preserve">.</w:t>
      </w:r>
    </w:p>
    <w:p>
      <w:pPr>
        <w:spacing w:after="160"/>
      </w:pPr>
      <w:r>
        <w:rPr>
          <w:b w:val="false"/>
          <w:bCs w:val="false"/>
          <w:sz w:val="22"/>
          <w:szCs w:val="22"/>
        </w:rPr>
        <w:t xml:space="preserve">7.4. Līgumu var grozīt un papildināt tikai ar Pušu rakstisku vienošanos, kas noformējama kā Līguma pielikums.</w:t>
      </w:r>
    </w:p>
    <w:p>
      <w:pPr>
        <w:spacing w:after="160"/>
      </w:pPr>
      <w:r>
        <w:rPr>
          <w:b w:val="false"/>
          <w:bCs w:val="false"/>
          <w:sz w:val="22"/>
          <w:szCs w:val="22"/>
        </w:rPr>
        <w:t xml:space="preserve">7.5. Ja kāds Līguma noteikums izrādās spēkā neesošs, tas neietekmē pārējo Līguma noteikumu spēkā esamību. Spēkā neesošo noteikumu aizstāj ar likumam atbilstošu noteikumu, kas visprecīzāk atbilst Pušu sākotnējam nodomam.</w:t>
      </w:r>
    </w:p>
    <w:p>
      <w:pPr>
        <w:spacing w:after="160"/>
      </w:pPr>
      <w:r>
        <w:rPr>
          <w:b w:val="false"/>
          <w:bCs w:val="false"/>
          <w:sz w:val="22"/>
          <w:szCs w:val="22"/>
        </w:rPr>
        <w:t xml:space="preserve">7.6. Līgums sagatavots un parakstīts divos eksemplāros — pa vienam katrai Pusei. Elektroniski parakstīts Līgums ir viens elektronisks eksemplārs.</w:t>
      </w:r>
    </w:p>
    <w:p>
      <w:pPr>
        <w:spacing w:after="160"/>
      </w:pPr>
      <w:r>
        <w:rPr>
          <w:b w:val="false"/>
          <w:bCs w:val="false"/>
          <w:sz w:val="22"/>
          <w:szCs w:val="22"/>
        </w:rPr>
        <w:t xml:space="preserve">7.7. Šis Līgums stājas spēkā ar brīdi, kad to parakstījušas abas Puses, tostarp ar kvalificētu elektronisko parakstu. Ar kvalificētu elektronisko parakstu parakstīts dokuments ir līdzvērtīgs pašrocīgi parakstītam dokumentam (eIDAS regula).</w:t>
      </w:r>
    </w:p>
    <w:p>
      <w:pPr>
        <w:pStyle w:val="Heading1"/>
        <w:spacing w:after="160" w:before="240"/>
      </w:pPr>
      <w:r>
        <w:rPr>
          <w:b/>
          <w:bCs/>
          <w:sz w:val="28"/>
          <w:szCs w:val="28"/>
        </w:rPr>
        <w:t xml:space="preserve">PUŠU PARAKSTI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tcMar>
              <w:top w:type="dxa" w:w="80"/>
              <w:left w:type="dxa" w:w="120"/>
              <w:bottom w:type="dxa" w:w="80"/>
              <w:right w:type="dxa" w:w="120"/>
            </w:tcMar>
          </w:tcPr>
          <w:p>
            <w:pPr>
              <w:spacing w:after="40" w:before="40"/>
            </w:pPr>
            <w:r>
              <w:rPr>
                <w:b w:val="false"/>
                <w:bCs w:val="false"/>
                <w:sz w:val="22"/>
                <w:szCs w:val="22"/>
              </w:rPr>
              <w:t xml:space="preserve"> </w:t>
            </w:r>
          </w:p>
        </w:tc>
        <w:tc>
          <w:tcPr>
            <w:tcW w:type="pct" w:w="33%"/>
            <w:tcMar>
              <w:top w:type="dxa" w:w="80"/>
              <w:left w:type="dxa" w:w="120"/>
              <w:bottom w:type="dxa" w:w="80"/>
              <w:right w:type="dxa" w:w="120"/>
            </w:tcMar>
          </w:tcPr>
          <w:p>
            <w:pPr>
              <w:spacing w:after="40" w:before="40"/>
            </w:pPr>
            <w:r>
              <w:rPr>
                <w:b w:val="false"/>
                <w:bCs w:val="false"/>
                <w:sz w:val="22"/>
                <w:szCs w:val="22"/>
              </w:rPr>
              <w:t xml:space="preserve">Dāvinātājs</w:t>
            </w:r>
          </w:p>
        </w:tc>
        <w:tc>
          <w:tcPr>
            <w:tcW w:type="pct" w:w="33%"/>
            <w:tcMar>
              <w:top w:type="dxa" w:w="80"/>
              <w:left w:type="dxa" w:w="120"/>
              <w:bottom w:type="dxa" w:w="80"/>
              <w:right w:type="dxa" w:w="120"/>
            </w:tcMar>
          </w:tcPr>
          <w:p>
            <w:pPr>
              <w:spacing w:after="40" w:before="40"/>
            </w:pPr>
            <w:r>
              <w:rPr>
                <w:b w:val="false"/>
                <w:bCs w:val="false"/>
                <w:sz w:val="22"/>
                <w:szCs w:val="22"/>
              </w:rPr>
              <w:t xml:space="preserve">Apdāvinātais</w:t>
            </w:r>
          </w:p>
        </w:tc>
      </w:tr>
      <w:tr>
        <w:tc>
          <w:tcPr>
            <w:tcW w:type="pct" w:w="33%"/>
            <w:tcMar>
              <w:top w:type="dxa" w:w="80"/>
              <w:left w:type="dxa" w:w="120"/>
              <w:bottom w:type="dxa" w:w="80"/>
              <w:right w:type="dxa" w:w="120"/>
            </w:tcMar>
          </w:tcPr>
          <w:p>
            <w:pPr>
              <w:spacing w:after="40" w:before="40"/>
            </w:pPr>
            <w:r>
              <w:rPr>
                <w:b/>
                <w:bCs/>
                <w:sz w:val="22"/>
                <w:szCs w:val="22"/>
              </w:rPr>
              <w:t xml:space="preserve">Vārds, uzvārds</w:t>
            </w:r>
          </w:p>
        </w:tc>
        <w:tc>
          <w:tcPr>
            <w:tcW w:type="pct" w:w="33%"/>
            <w:tcMar>
              <w:top w:type="dxa" w:w="80"/>
              <w:left w:type="dxa" w:w="120"/>
              <w:bottom w:type="dxa" w:w="80"/>
              <w:right w:type="dxa" w:w="120"/>
            </w:tcMar>
          </w:tcPr>
          <w:p>
            <w:pPr>
              <w:spacing w:after="40" w:before="40"/>
            </w:pPr>
            <w:r>
              <w:rPr>
                <w:b w:val="false"/>
                <w:bCs w:val="false"/>
                <w:sz w:val="22"/>
                <w:szCs w:val="22"/>
              </w:rPr>
              <w:t xml:space="preserve">{{donor_name}}</w:t>
            </w:r>
          </w:p>
        </w:tc>
        <w:tc>
          <w:tcPr>
            <w:tcW w:type="pct" w:w="33%"/>
            <w:tcMar>
              <w:top w:type="dxa" w:w="80"/>
              <w:left w:type="dxa" w:w="120"/>
              <w:bottom w:type="dxa" w:w="80"/>
              <w:right w:type="dxa" w:w="120"/>
            </w:tcMar>
          </w:tcPr>
          <w:p>
            <w:pPr>
              <w:spacing w:after="40" w:before="40"/>
            </w:pPr>
            <w:r>
              <w:rPr>
                <w:b w:val="false"/>
                <w:bCs w:val="false"/>
                <w:sz w:val="22"/>
                <w:szCs w:val="22"/>
              </w:rPr>
              <w:t xml:space="preserve">{{donee_name}}</w:t>
            </w:r>
          </w:p>
        </w:tc>
      </w:tr>
      <w:tr>
        <w:tc>
          <w:tcPr>
            <w:tcW w:type="pct" w:w="33%"/>
            <w:tcMar>
              <w:top w:type="dxa" w:w="80"/>
              <w:left w:type="dxa" w:w="120"/>
              <w:bottom w:type="dxa" w:w="80"/>
              <w:right w:type="dxa" w:w="120"/>
            </w:tcMar>
          </w:tcPr>
          <w:p>
            <w:pPr>
              <w:spacing w:after="40" w:before="40"/>
            </w:pPr>
            <w:r>
              <w:rPr>
                <w:b/>
                <w:bCs/>
                <w:sz w:val="22"/>
                <w:szCs w:val="22"/>
              </w:rPr>
              <w:t xml:space="preserve">Personas kods / reģ. Nr.</w:t>
            </w:r>
          </w:p>
        </w:tc>
        <w:tc>
          <w:tcPr>
            <w:tcW w:type="pct" w:w="33%"/>
            <w:tcMar>
              <w:top w:type="dxa" w:w="80"/>
              <w:left w:type="dxa" w:w="120"/>
              <w:bottom w:type="dxa" w:w="80"/>
              <w:right w:type="dxa" w:w="120"/>
            </w:tcMar>
          </w:tcPr>
          <w:p>
            <w:pPr>
              <w:spacing w:after="40" w:before="40"/>
            </w:pPr>
            <w:r>
              <w:rPr>
                <w:b w:val="false"/>
                <w:bCs w:val="false"/>
                <w:sz w:val="22"/>
                <w:szCs w:val="22"/>
              </w:rPr>
              <w:t xml:space="preserve">{{donor_id_code}}</w:t>
            </w:r>
          </w:p>
        </w:tc>
        <w:tc>
          <w:tcPr>
            <w:tcW w:type="pct" w:w="33%"/>
            <w:tcMar>
              <w:top w:type="dxa" w:w="80"/>
              <w:left w:type="dxa" w:w="120"/>
              <w:bottom w:type="dxa" w:w="80"/>
              <w:right w:type="dxa" w:w="120"/>
            </w:tcMar>
          </w:tcPr>
          <w:p>
            <w:pPr>
              <w:spacing w:after="40" w:before="40"/>
            </w:pPr>
            <w:r>
              <w:rPr>
                <w:b w:val="false"/>
                <w:bCs w:val="false"/>
                <w:sz w:val="22"/>
                <w:szCs w:val="22"/>
              </w:rPr>
              <w:t xml:space="preserve">{{donee_id_code}}</w:t>
            </w:r>
          </w:p>
        </w:tc>
      </w:tr>
      <w:tr>
        <w:tc>
          <w:tcPr>
            <w:tcW w:type="pct" w:w="33%"/>
            <w:tcMar>
              <w:top w:type="dxa" w:w="80"/>
              <w:left w:type="dxa" w:w="120"/>
              <w:bottom w:type="dxa" w:w="80"/>
              <w:right w:type="dxa" w:w="120"/>
            </w:tcMar>
          </w:tcPr>
          <w:p>
            <w:pPr>
              <w:spacing w:after="40" w:before="40"/>
            </w:pPr>
            <w:r>
              <w:rPr>
                <w:b/>
                <w:bCs/>
                <w:sz w:val="22"/>
                <w:szCs w:val="22"/>
              </w:rPr>
              <w:t xml:space="preserve">Paraksts</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r>
      <w:tr>
        <w:tc>
          <w:tcPr>
            <w:tcW w:type="pct" w:w="33%"/>
            <w:tcMar>
              <w:top w:type="dxa" w:w="80"/>
              <w:left w:type="dxa" w:w="120"/>
              <w:bottom w:type="dxa" w:w="80"/>
              <w:right w:type="dxa" w:w="120"/>
            </w:tcMar>
          </w:tcPr>
          <w:p>
            <w:pPr>
              <w:spacing w:after="40" w:before="40"/>
            </w:pPr>
            <w:r>
              <w:rPr>
                <w:b/>
                <w:bCs/>
                <w:sz w:val="22"/>
                <w:szCs w:val="22"/>
              </w:rPr>
              <w:t xml:space="preserve">Datums</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p>
      <w:pPr>
        <w:spacing w:after="160"/>
      </w:pPr>
      <w:r>
        <w:rPr>
          <w:b/>
          <w:bCs/>
          <w:sz w:val="22"/>
          <w:szCs w:val="22"/>
        </w:rPr>
        <w:t xml:space="preserve">Laulātā piekrišana (ja piemērojama):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 </w:t>
            </w:r>
          </w:p>
        </w:tc>
        <w:tc>
          <w:tcPr>
            <w:tcW w:type="pct" w:w="50%"/>
            <w:tcMar>
              <w:top w:type="dxa" w:w="80"/>
              <w:left w:type="dxa" w:w="120"/>
              <w:bottom w:type="dxa" w:w="80"/>
              <w:right w:type="dxa" w:w="120"/>
            </w:tcMar>
          </w:tcPr>
          <w:p>
            <w:pPr>
              <w:spacing w:after="40" w:before="40"/>
            </w:pPr>
            <w:r>
              <w:rPr>
                <w:b w:val="false"/>
                <w:bCs w:val="false"/>
                <w:sz w:val="22"/>
                <w:szCs w:val="22"/>
              </w:rPr>
              <w:t xml:space="preserve">Dāvinātāja laulātais</w:t>
            </w:r>
          </w:p>
        </w:tc>
      </w:tr>
      <w:tr>
        <w:tc>
          <w:tcPr>
            <w:tcW w:type="pct" w:w="50%"/>
            <w:tcMar>
              <w:top w:type="dxa" w:w="80"/>
              <w:left w:type="dxa" w:w="120"/>
              <w:bottom w:type="dxa" w:w="80"/>
              <w:right w:type="dxa" w:w="120"/>
            </w:tcMar>
          </w:tcPr>
          <w:p>
            <w:pPr>
              <w:spacing w:after="40" w:before="40"/>
            </w:pPr>
            <w:r>
              <w:rPr>
                <w:b/>
                <w:bCs/>
                <w:sz w:val="22"/>
                <w:szCs w:val="22"/>
              </w:rPr>
              <w:t xml:space="preserve">Vārds, uzvārds</w:t>
            </w:r>
          </w:p>
        </w:tc>
        <w:tc>
          <w:tcPr>
            <w:tcW w:type="pct" w:w="50%"/>
            <w:tcMar>
              <w:top w:type="dxa" w:w="80"/>
              <w:left w:type="dxa" w:w="120"/>
              <w:bottom w:type="dxa" w:w="80"/>
              <w:right w:type="dxa" w:w="120"/>
            </w:tcMar>
          </w:tcPr>
          <w:p>
            <w:pPr>
              <w:spacing w:after="40" w:before="40"/>
            </w:pPr>
            <w:r>
              <w:rPr>
                <w:b w:val="false"/>
                <w:bCs w:val="false"/>
                <w:sz w:val="22"/>
                <w:szCs w:val="22"/>
              </w:rPr>
              <w:t xml:space="preserve">{{donor_spouse_name}}</w:t>
            </w:r>
          </w:p>
        </w:tc>
      </w:tr>
      <w:tr>
        <w:tc>
          <w:tcPr>
            <w:tcW w:type="pct" w:w="50%"/>
            <w:tcMar>
              <w:top w:type="dxa" w:w="80"/>
              <w:left w:type="dxa" w:w="120"/>
              <w:bottom w:type="dxa" w:w="80"/>
              <w:right w:type="dxa" w:w="120"/>
            </w:tcMar>
          </w:tcPr>
          <w:p>
            <w:pPr>
              <w:spacing w:after="40" w:before="40"/>
            </w:pPr>
            <w:r>
              <w:rPr>
                <w:b/>
                <w:bCs/>
                <w:sz w:val="22"/>
                <w:szCs w:val="22"/>
              </w:rPr>
              <w:t xml:space="preserve">Personas kods</w:t>
            </w:r>
          </w:p>
        </w:tc>
        <w:tc>
          <w:tcPr>
            <w:tcW w:type="pct" w:w="50%"/>
            <w:tcMar>
              <w:top w:type="dxa" w:w="80"/>
              <w:left w:type="dxa" w:w="120"/>
              <w:bottom w:type="dxa" w:w="80"/>
              <w:right w:type="dxa" w:w="120"/>
            </w:tcMar>
          </w:tcPr>
          <w:p>
            <w:pPr>
              <w:spacing w:after="40" w:before="40"/>
            </w:pPr>
            <w:r>
              <w:rPr>
                <w:b w:val="false"/>
                <w:bCs w:val="false"/>
                <w:sz w:val="22"/>
                <w:szCs w:val="22"/>
              </w:rPr>
              <w:t xml:space="preserve">{{donor_spouse_id_code}}</w:t>
            </w:r>
          </w:p>
        </w:tc>
      </w:tr>
      <w:tr>
        <w:tc>
          <w:tcPr>
            <w:tcW w:type="pct" w:w="50%"/>
            <w:tcMar>
              <w:top w:type="dxa" w:w="80"/>
              <w:left w:type="dxa" w:w="120"/>
              <w:bottom w:type="dxa" w:w="80"/>
              <w:right w:type="dxa" w:w="120"/>
            </w:tcMar>
          </w:tcPr>
          <w:p>
            <w:pPr>
              <w:spacing w:after="40" w:before="40"/>
            </w:pPr>
            <w:r>
              <w:rPr>
                <w:b/>
                <w:bCs/>
                <w:sz w:val="22"/>
                <w:szCs w:val="22"/>
              </w:rPr>
              <w:t xml:space="preserve">Paraksts</w:t>
            </w:r>
          </w:p>
        </w:tc>
        <w:tc>
          <w:tcPr>
            <w:tcW w:type="pct" w:w="50%"/>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r>
      <w:tr>
        <w:tc>
          <w:tcPr>
            <w:tcW w:type="pct" w:w="50%"/>
            <w:tcMar>
              <w:top w:type="dxa" w:w="80"/>
              <w:left w:type="dxa" w:w="120"/>
              <w:bottom w:type="dxa" w:w="80"/>
              <w:right w:type="dxa" w:w="120"/>
            </w:tcMar>
          </w:tcPr>
          <w:p>
            <w:pPr>
              <w:spacing w:after="40" w:before="40"/>
            </w:pPr>
            <w:r>
              <w:rPr>
                <w:b/>
                <w:bCs/>
                <w:sz w:val="22"/>
                <w:szCs w:val="22"/>
              </w:rPr>
              <w:t xml:space="preserve">Datums</w:t>
            </w:r>
          </w:p>
        </w:tc>
        <w:tc>
          <w:tcPr>
            <w:tcW w:type="pct" w:w="50%"/>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Dāvinājuma līguma paraugs</dc:title>
  <dc:creator>Agrello</dc:creator>
  <cp:lastModifiedBy>Un-named</cp:lastModifiedBy>
  <cp:revision>1</cp:revision>
  <dcterms:created xsi:type="dcterms:W3CDTF">2026-06-12T12:29:46.928Z</dcterms:created>
  <dcterms:modified xsi:type="dcterms:W3CDTF">2026-06-12T12:29:46.928Z</dcterms:modified>
</cp:coreProperties>
</file>

<file path=docProps/custom.xml><?xml version="1.0" encoding="utf-8"?>
<Properties xmlns="http://schemas.openxmlformats.org/officeDocument/2006/custom-properties" xmlns:vt="http://schemas.openxmlformats.org/officeDocument/2006/docPropsVTypes"/>
</file>