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DOVANOJIMO SUTARTIS Nr. {{contract_number}}</w:t>
      </w:r>
    </w:p>
    <w:p>
      <w:pPr>
        <w:spacing w:after="160"/>
      </w:pPr>
      <w:r>
        <w:rPr>
          <w:b w:val="false"/>
          <w:bCs w:val="false"/>
          <w:sz w:val="22"/>
          <w:szCs w:val="22"/>
        </w:rPr>
        <w:t xml:space="preserve">{{contract_location}}, {{contract_date}}</w:t>
      </w:r>
    </w:p>
    <w:p>
      <w:pPr>
        <w:pStyle w:val="Heading1"/>
        <w:spacing w:after="160" w:before="240"/>
      </w:pPr>
      <w:r>
        <w:rPr>
          <w:b/>
          <w:bCs/>
          <w:sz w:val="28"/>
          <w:szCs w:val="28"/>
        </w:rPr>
        <w:t xml:space="preserve">1. SUTARTIES ŠALYS</w:t>
      </w:r>
    </w:p>
    <w:p>
      <w:pPr>
        <w:spacing w:after="160"/>
      </w:pPr>
      <w:r>
        <w:rPr>
          <w:b/>
          <w:bCs/>
          <w:sz w:val="22"/>
          <w:szCs w:val="22"/>
        </w:rPr>
        <w:t xml:space="preserve">Dovanotojas: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Vardas, pavardė / pavadinimas</w:t>
            </w:r>
          </w:p>
        </w:tc>
        <w:tc>
          <w:tcPr>
            <w:tcW w:type="pct" w:w="50%"/>
            <w:tcMar>
              <w:top w:type="dxa" w:w="80"/>
              <w:left w:type="dxa" w:w="120"/>
              <w:bottom w:type="dxa" w:w="80"/>
              <w:right w:type="dxa" w:w="120"/>
            </w:tcMar>
          </w:tcPr>
          <w:p>
            <w:pPr>
              <w:spacing w:after="40" w:before="40"/>
            </w:pPr>
            <w:r>
              <w:rPr>
                <w:b w:val="false"/>
                <w:bCs w:val="false"/>
                <w:sz w:val="22"/>
                <w:szCs w:val="22"/>
              </w:rPr>
              <w:t xml:space="preserve">{{donor_name}}</w:t>
            </w:r>
          </w:p>
        </w:tc>
      </w:tr>
      <w:tr>
        <w:tc>
          <w:tcPr>
            <w:tcW w:type="pct" w:w="50%"/>
            <w:tcMar>
              <w:top w:type="dxa" w:w="80"/>
              <w:left w:type="dxa" w:w="120"/>
              <w:bottom w:type="dxa" w:w="80"/>
              <w:right w:type="dxa" w:w="120"/>
            </w:tcMar>
          </w:tcPr>
          <w:p>
            <w:pPr>
              <w:spacing w:after="40" w:before="40"/>
            </w:pPr>
            <w:r>
              <w:rPr>
                <w:b/>
                <w:bCs/>
                <w:sz w:val="22"/>
                <w:szCs w:val="22"/>
              </w:rPr>
              <w:t xml:space="preserve">Asmens kodas / įmonės kodas</w:t>
            </w:r>
          </w:p>
        </w:tc>
        <w:tc>
          <w:tcPr>
            <w:tcW w:type="pct" w:w="50%"/>
            <w:tcMar>
              <w:top w:type="dxa" w:w="80"/>
              <w:left w:type="dxa" w:w="120"/>
              <w:bottom w:type="dxa" w:w="80"/>
              <w:right w:type="dxa" w:w="120"/>
            </w:tcMar>
          </w:tcPr>
          <w:p>
            <w:pPr>
              <w:spacing w:after="40" w:before="40"/>
            </w:pPr>
            <w:r>
              <w:rPr>
                <w:b w:val="false"/>
                <w:bCs w:val="false"/>
                <w:sz w:val="22"/>
                <w:szCs w:val="22"/>
              </w:rPr>
              <w:t xml:space="preserve">{{donor_id_code}}</w:t>
            </w:r>
          </w:p>
        </w:tc>
      </w:tr>
      <w:tr>
        <w:tc>
          <w:tcPr>
            <w:tcW w:type="pct" w:w="50%"/>
            <w:tcMar>
              <w:top w:type="dxa" w:w="80"/>
              <w:left w:type="dxa" w:w="120"/>
              <w:bottom w:type="dxa" w:w="80"/>
              <w:right w:type="dxa" w:w="120"/>
            </w:tcMar>
          </w:tcPr>
          <w:p>
            <w:pPr>
              <w:spacing w:after="40" w:before="40"/>
            </w:pPr>
            <w:r>
              <w:rPr>
                <w:b/>
                <w:bCs/>
                <w:sz w:val="22"/>
                <w:szCs w:val="22"/>
              </w:rPr>
              <w:t xml:space="preserve">Adresas</w:t>
            </w:r>
          </w:p>
        </w:tc>
        <w:tc>
          <w:tcPr>
            <w:tcW w:type="pct" w:w="50%"/>
            <w:tcMar>
              <w:top w:type="dxa" w:w="80"/>
              <w:left w:type="dxa" w:w="120"/>
              <w:bottom w:type="dxa" w:w="80"/>
              <w:right w:type="dxa" w:w="120"/>
            </w:tcMar>
          </w:tcPr>
          <w:p>
            <w:pPr>
              <w:spacing w:after="40" w:before="40"/>
            </w:pPr>
            <w:r>
              <w:rPr>
                <w:b w:val="false"/>
                <w:bCs w:val="false"/>
                <w:sz w:val="22"/>
                <w:szCs w:val="22"/>
              </w:rPr>
              <w:t xml:space="preserve">{{donor_address}}</w:t>
            </w:r>
          </w:p>
        </w:tc>
      </w:tr>
      <w:tr>
        <w:tc>
          <w:tcPr>
            <w:tcW w:type="pct" w:w="50%"/>
            <w:tcMar>
              <w:top w:type="dxa" w:w="80"/>
              <w:left w:type="dxa" w:w="120"/>
              <w:bottom w:type="dxa" w:w="80"/>
              <w:right w:type="dxa" w:w="120"/>
            </w:tcMar>
          </w:tcPr>
          <w:p>
            <w:pPr>
              <w:spacing w:after="40" w:before="40"/>
            </w:pPr>
            <w:r>
              <w:rPr>
                <w:b/>
                <w:bCs/>
                <w:sz w:val="22"/>
                <w:szCs w:val="22"/>
              </w:rPr>
              <w:t xml:space="preserve">Telefonas / el. paštas</w:t>
            </w:r>
          </w:p>
        </w:tc>
        <w:tc>
          <w:tcPr>
            <w:tcW w:type="pct" w:w="50%"/>
            <w:tcMar>
              <w:top w:type="dxa" w:w="80"/>
              <w:left w:type="dxa" w:w="120"/>
              <w:bottom w:type="dxa" w:w="80"/>
              <w:right w:type="dxa" w:w="120"/>
            </w:tcMar>
          </w:tcPr>
          <w:p>
            <w:pPr>
              <w:spacing w:after="40" w:before="40"/>
            </w:pPr>
            <w:r>
              <w:rPr>
                <w:b w:val="false"/>
                <w:bCs w:val="false"/>
                <w:sz w:val="22"/>
                <w:szCs w:val="22"/>
              </w:rPr>
              <w:t xml:space="preserve">{{donor_phone}} / {{donor_email}}</w:t>
            </w:r>
          </w:p>
        </w:tc>
      </w:tr>
      <w:tr>
        <w:tc>
          <w:tcPr>
            <w:tcW w:type="pct" w:w="50%"/>
            <w:tcMar>
              <w:top w:type="dxa" w:w="80"/>
              <w:left w:type="dxa" w:w="120"/>
              <w:bottom w:type="dxa" w:w="80"/>
              <w:right w:type="dxa" w:w="120"/>
            </w:tcMar>
          </w:tcPr>
          <w:p>
            <w:pPr>
              <w:spacing w:after="40" w:before="40"/>
            </w:pPr>
            <w:r>
              <w:rPr>
                <w:b/>
                <w:bCs/>
                <w:sz w:val="22"/>
                <w:szCs w:val="22"/>
              </w:rPr>
              <w:t xml:space="preserve">Atstovas (juridinio asmens atveju)</w:t>
            </w:r>
          </w:p>
        </w:tc>
        <w:tc>
          <w:tcPr>
            <w:tcW w:type="pct" w:w="50%"/>
            <w:tcMar>
              <w:top w:type="dxa" w:w="80"/>
              <w:left w:type="dxa" w:w="120"/>
              <w:bottom w:type="dxa" w:w="80"/>
              <w:right w:type="dxa" w:w="120"/>
            </w:tcMar>
          </w:tcPr>
          <w:p>
            <w:pPr>
              <w:spacing w:after="40" w:before="40"/>
            </w:pPr>
            <w:r>
              <w:rPr>
                <w:b w:val="false"/>
                <w:bCs w:val="false"/>
                <w:sz w:val="22"/>
                <w:szCs w:val="22"/>
              </w:rPr>
              <w:t xml:space="preserve">{{donor_representative_name}}</w:t>
            </w:r>
          </w:p>
        </w:tc>
      </w:tr>
    </w:tbl>
    <w:p>
      <w:pPr>
        <w:spacing w:after="120"/>
      </w:pPr>
      <w:r>
        <w:rPr>
          <w:sz w:val="22"/>
          <w:szCs w:val="22"/>
        </w:rPr>
        <w:t xml:space="preserve"/>
      </w:r>
    </w:p>
    <w:p>
      <w:pPr>
        <w:spacing w:after="160"/>
      </w:pPr>
      <w:r>
        <w:rPr>
          <w:b/>
          <w:bCs/>
          <w:sz w:val="22"/>
          <w:szCs w:val="22"/>
        </w:rPr>
        <w:t xml:space="preserve">Apdovanotasis: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Vardas, pavardė / pavadinimas</w:t>
            </w:r>
          </w:p>
        </w:tc>
        <w:tc>
          <w:tcPr>
            <w:tcW w:type="pct" w:w="50%"/>
            <w:tcMar>
              <w:top w:type="dxa" w:w="80"/>
              <w:left w:type="dxa" w:w="120"/>
              <w:bottom w:type="dxa" w:w="80"/>
              <w:right w:type="dxa" w:w="120"/>
            </w:tcMar>
          </w:tcPr>
          <w:p>
            <w:pPr>
              <w:spacing w:after="40" w:before="40"/>
            </w:pPr>
            <w:r>
              <w:rPr>
                <w:b w:val="false"/>
                <w:bCs w:val="false"/>
                <w:sz w:val="22"/>
                <w:szCs w:val="22"/>
              </w:rPr>
              <w:t xml:space="preserve">{{donee_name}}</w:t>
            </w:r>
          </w:p>
        </w:tc>
      </w:tr>
      <w:tr>
        <w:tc>
          <w:tcPr>
            <w:tcW w:type="pct" w:w="50%"/>
            <w:tcMar>
              <w:top w:type="dxa" w:w="80"/>
              <w:left w:type="dxa" w:w="120"/>
              <w:bottom w:type="dxa" w:w="80"/>
              <w:right w:type="dxa" w:w="120"/>
            </w:tcMar>
          </w:tcPr>
          <w:p>
            <w:pPr>
              <w:spacing w:after="40" w:before="40"/>
            </w:pPr>
            <w:r>
              <w:rPr>
                <w:b/>
                <w:bCs/>
                <w:sz w:val="22"/>
                <w:szCs w:val="22"/>
              </w:rPr>
              <w:t xml:space="preserve">Asmens kodas / įmonės kodas</w:t>
            </w:r>
          </w:p>
        </w:tc>
        <w:tc>
          <w:tcPr>
            <w:tcW w:type="pct" w:w="50%"/>
            <w:tcMar>
              <w:top w:type="dxa" w:w="80"/>
              <w:left w:type="dxa" w:w="120"/>
              <w:bottom w:type="dxa" w:w="80"/>
              <w:right w:type="dxa" w:w="120"/>
            </w:tcMar>
          </w:tcPr>
          <w:p>
            <w:pPr>
              <w:spacing w:after="40" w:before="40"/>
            </w:pPr>
            <w:r>
              <w:rPr>
                <w:b w:val="false"/>
                <w:bCs w:val="false"/>
                <w:sz w:val="22"/>
                <w:szCs w:val="22"/>
              </w:rPr>
              <w:t xml:space="preserve">{{donee_id_code}}</w:t>
            </w:r>
          </w:p>
        </w:tc>
      </w:tr>
      <w:tr>
        <w:tc>
          <w:tcPr>
            <w:tcW w:type="pct" w:w="50%"/>
            <w:tcMar>
              <w:top w:type="dxa" w:w="80"/>
              <w:left w:type="dxa" w:w="120"/>
              <w:bottom w:type="dxa" w:w="80"/>
              <w:right w:type="dxa" w:w="120"/>
            </w:tcMar>
          </w:tcPr>
          <w:p>
            <w:pPr>
              <w:spacing w:after="40" w:before="40"/>
            </w:pPr>
            <w:r>
              <w:rPr>
                <w:b/>
                <w:bCs/>
                <w:sz w:val="22"/>
                <w:szCs w:val="22"/>
              </w:rPr>
              <w:t xml:space="preserve">Adresas</w:t>
            </w:r>
          </w:p>
        </w:tc>
        <w:tc>
          <w:tcPr>
            <w:tcW w:type="pct" w:w="50%"/>
            <w:tcMar>
              <w:top w:type="dxa" w:w="80"/>
              <w:left w:type="dxa" w:w="120"/>
              <w:bottom w:type="dxa" w:w="80"/>
              <w:right w:type="dxa" w:w="120"/>
            </w:tcMar>
          </w:tcPr>
          <w:p>
            <w:pPr>
              <w:spacing w:after="40" w:before="40"/>
            </w:pPr>
            <w:r>
              <w:rPr>
                <w:b w:val="false"/>
                <w:bCs w:val="false"/>
                <w:sz w:val="22"/>
                <w:szCs w:val="22"/>
              </w:rPr>
              <w:t xml:space="preserve">{{donee_address}}</w:t>
            </w:r>
          </w:p>
        </w:tc>
      </w:tr>
      <w:tr>
        <w:tc>
          <w:tcPr>
            <w:tcW w:type="pct" w:w="50%"/>
            <w:tcMar>
              <w:top w:type="dxa" w:w="80"/>
              <w:left w:type="dxa" w:w="120"/>
              <w:bottom w:type="dxa" w:w="80"/>
              <w:right w:type="dxa" w:w="120"/>
            </w:tcMar>
          </w:tcPr>
          <w:p>
            <w:pPr>
              <w:spacing w:after="40" w:before="40"/>
            </w:pPr>
            <w:r>
              <w:rPr>
                <w:b/>
                <w:bCs/>
                <w:sz w:val="22"/>
                <w:szCs w:val="22"/>
              </w:rPr>
              <w:t xml:space="preserve">Telefonas / el. paštas</w:t>
            </w:r>
          </w:p>
        </w:tc>
        <w:tc>
          <w:tcPr>
            <w:tcW w:type="pct" w:w="50%"/>
            <w:tcMar>
              <w:top w:type="dxa" w:w="80"/>
              <w:left w:type="dxa" w:w="120"/>
              <w:bottom w:type="dxa" w:w="80"/>
              <w:right w:type="dxa" w:w="120"/>
            </w:tcMar>
          </w:tcPr>
          <w:p>
            <w:pPr>
              <w:spacing w:after="40" w:before="40"/>
            </w:pPr>
            <w:r>
              <w:rPr>
                <w:b w:val="false"/>
                <w:bCs w:val="false"/>
                <w:sz w:val="22"/>
                <w:szCs w:val="22"/>
              </w:rPr>
              <w:t xml:space="preserve">{{donee_phone}} / {{donee_email}}</w:t>
            </w:r>
          </w:p>
        </w:tc>
      </w:tr>
      <w:tr>
        <w:tc>
          <w:tcPr>
            <w:tcW w:type="pct" w:w="50%"/>
            <w:tcMar>
              <w:top w:type="dxa" w:w="80"/>
              <w:left w:type="dxa" w:w="120"/>
              <w:bottom w:type="dxa" w:w="80"/>
              <w:right w:type="dxa" w:w="120"/>
            </w:tcMar>
          </w:tcPr>
          <w:p>
            <w:pPr>
              <w:spacing w:after="40" w:before="40"/>
            </w:pPr>
            <w:r>
              <w:rPr>
                <w:b/>
                <w:bCs/>
                <w:sz w:val="22"/>
                <w:szCs w:val="22"/>
              </w:rPr>
              <w:t xml:space="preserve">Atstovas (juridinio asmens atveju)</w:t>
            </w:r>
          </w:p>
        </w:tc>
        <w:tc>
          <w:tcPr>
            <w:tcW w:type="pct" w:w="50%"/>
            <w:tcMar>
              <w:top w:type="dxa" w:w="80"/>
              <w:left w:type="dxa" w:w="120"/>
              <w:bottom w:type="dxa" w:w="80"/>
              <w:right w:type="dxa" w:w="120"/>
            </w:tcMar>
          </w:tcPr>
          <w:p>
            <w:pPr>
              <w:spacing w:after="40" w:before="40"/>
            </w:pPr>
            <w:r>
              <w:rPr>
                <w:b w:val="false"/>
                <w:bCs w:val="false"/>
                <w:sz w:val="22"/>
                <w:szCs w:val="22"/>
              </w:rPr>
              <w:t xml:space="preserve">{{donee_representative_name}}</w:t>
            </w:r>
          </w:p>
        </w:tc>
      </w:tr>
    </w:tbl>
    <w:p>
      <w:pPr>
        <w:spacing w:after="120"/>
      </w:pPr>
      <w:r>
        <w:rPr>
          <w:sz w:val="22"/>
          <w:szCs w:val="22"/>
        </w:rPr>
        <w:t xml:space="preserve"/>
      </w:r>
    </w:p>
    <w:p>
      <w:pPr>
        <w:spacing w:after="160"/>
      </w:pPr>
      <w:r>
        <w:rPr>
          <w:b w:val="false"/>
          <w:bCs w:val="false"/>
          <w:sz w:val="22"/>
          <w:szCs w:val="22"/>
        </w:rPr>
        <w:t xml:space="preserve">Dovanotojas ir Apdovanotasis (toliau kartu – „Šalys", o kiekvienas atskirai – „Šalis") sudaro šią dovanojimo sutartį (toliau – „Sutartis"). Sutarčiai taikomos Lietuvos Respublikos civilinio kodekso (toliau – „CK") šeštosios knygos XXVII skyriaus „Dovanojimas" (CK 6.465–6.476 straipsniai) nuostatos.</w:t>
      </w:r>
    </w:p>
    <w:p>
      <w:pPr>
        <w:pStyle w:val="Heading1"/>
        <w:spacing w:after="160" w:before="240"/>
      </w:pPr>
      <w:r>
        <w:rPr>
          <w:b/>
          <w:bCs/>
          <w:sz w:val="28"/>
          <w:szCs w:val="28"/>
        </w:rPr>
        <w:t xml:space="preserve">2. SUTARTIES DALYKAS</w:t>
      </w:r>
    </w:p>
    <w:p>
      <w:pPr>
        <w:spacing w:after="160"/>
      </w:pPr>
      <w:r>
        <w:rPr>
          <w:b w:val="false"/>
          <w:bCs w:val="false"/>
          <w:sz w:val="22"/>
          <w:szCs w:val="22"/>
        </w:rPr>
        <w:t xml:space="preserve">2.1. Šia Sutartimi Dovanotojas neatlygintinai perduoda Apdovanotajam nuosavybės teise toliau nurodytą turtą (toliau – „Dovanos objektas"):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Dovanos objekto rūšis</w:t>
            </w:r>
          </w:p>
        </w:tc>
        <w:tc>
          <w:tcPr>
            <w:tcW w:type="pct" w:w="50%"/>
            <w:tcMar>
              <w:top w:type="dxa" w:w="80"/>
              <w:left w:type="dxa" w:w="120"/>
              <w:bottom w:type="dxa" w:w="80"/>
              <w:right w:type="dxa" w:w="120"/>
            </w:tcMar>
          </w:tcPr>
          <w:p>
            <w:pPr>
              <w:spacing w:after="40" w:before="40"/>
            </w:pPr>
            <w:r>
              <w:rPr>
                <w:b w:val="false"/>
                <w:bCs w:val="false"/>
                <w:sz w:val="22"/>
                <w:szCs w:val="22"/>
              </w:rPr>
              <w:t xml:space="preserve">{{gift_type}}</w:t>
            </w:r>
          </w:p>
        </w:tc>
      </w:tr>
      <w:tr>
        <w:tc>
          <w:tcPr>
            <w:tcW w:type="pct" w:w="50%"/>
            <w:tcMar>
              <w:top w:type="dxa" w:w="80"/>
              <w:left w:type="dxa" w:w="120"/>
              <w:bottom w:type="dxa" w:w="80"/>
              <w:right w:type="dxa" w:w="120"/>
            </w:tcMar>
          </w:tcPr>
          <w:p>
            <w:pPr>
              <w:spacing w:after="40" w:before="40"/>
            </w:pPr>
            <w:r>
              <w:rPr>
                <w:b/>
                <w:bCs/>
                <w:sz w:val="22"/>
                <w:szCs w:val="22"/>
              </w:rPr>
              <w:t xml:space="preserve">Aprašymas</w:t>
            </w:r>
          </w:p>
        </w:tc>
        <w:tc>
          <w:tcPr>
            <w:tcW w:type="pct" w:w="50%"/>
            <w:tcMar>
              <w:top w:type="dxa" w:w="80"/>
              <w:left w:type="dxa" w:w="120"/>
              <w:bottom w:type="dxa" w:w="80"/>
              <w:right w:type="dxa" w:w="120"/>
            </w:tcMar>
          </w:tcPr>
          <w:p>
            <w:pPr>
              <w:spacing w:after="40" w:before="40"/>
            </w:pPr>
            <w:r>
              <w:rPr>
                <w:b w:val="false"/>
                <w:bCs w:val="false"/>
                <w:sz w:val="22"/>
                <w:szCs w:val="22"/>
              </w:rPr>
              <w:t xml:space="preserve">{{gift_description}}</w:t>
            </w:r>
          </w:p>
        </w:tc>
      </w:tr>
      <w:tr>
        <w:tc>
          <w:tcPr>
            <w:tcW w:type="pct" w:w="50%"/>
            <w:tcMar>
              <w:top w:type="dxa" w:w="80"/>
              <w:left w:type="dxa" w:w="120"/>
              <w:bottom w:type="dxa" w:w="80"/>
              <w:right w:type="dxa" w:w="120"/>
            </w:tcMar>
          </w:tcPr>
          <w:p>
            <w:pPr>
              <w:spacing w:after="40" w:before="40"/>
            </w:pPr>
            <w:r>
              <w:rPr>
                <w:b/>
                <w:bCs/>
                <w:sz w:val="22"/>
                <w:szCs w:val="22"/>
              </w:rPr>
              <w:t xml:space="preserve">Vertė / pinigų suma</w:t>
            </w:r>
          </w:p>
        </w:tc>
        <w:tc>
          <w:tcPr>
            <w:tcW w:type="pct" w:w="50%"/>
            <w:tcMar>
              <w:top w:type="dxa" w:w="80"/>
              <w:left w:type="dxa" w:w="120"/>
              <w:bottom w:type="dxa" w:w="80"/>
              <w:right w:type="dxa" w:w="120"/>
            </w:tcMar>
          </w:tcPr>
          <w:p>
            <w:pPr>
              <w:spacing w:after="40" w:before="40"/>
            </w:pPr>
            <w:r>
              <w:rPr>
                <w:b w:val="false"/>
                <w:bCs w:val="false"/>
                <w:sz w:val="22"/>
                <w:szCs w:val="22"/>
              </w:rPr>
              <w:t xml:space="preserve">{{gift_value_eur}} EUR ({{gift_value_words}})</w:t>
            </w:r>
          </w:p>
        </w:tc>
      </w:tr>
    </w:tbl>
    <w:p>
      <w:pPr>
        <w:spacing w:after="120"/>
      </w:pPr>
      <w:r>
        <w:rPr>
          <w:sz w:val="22"/>
          <w:szCs w:val="22"/>
        </w:rPr>
        <w:t xml:space="preserve"/>
      </w:r>
    </w:p>
    <w:p>
      <w:pPr>
        <w:spacing w:after="160"/>
      </w:pPr>
      <w:r>
        <w:rPr>
          <w:b w:val="false"/>
          <w:bCs w:val="false"/>
          <w:sz w:val="22"/>
          <w:szCs w:val="22"/>
        </w:rPr>
        <w:t xml:space="preserve">2.2. Dovanotojas patvirtina, kad Dovanos objektas perduodamas Apdovanotajam </w:t>
      </w:r>
      <w:r>
        <w:rPr>
          <w:b/>
          <w:bCs/>
          <w:sz w:val="22"/>
          <w:szCs w:val="22"/>
        </w:rPr>
        <w:t xml:space="preserve">neatlygintinai, nuosavybės teise</w:t>
      </w:r>
      <w:r>
        <w:rPr>
          <w:b w:val="false"/>
          <w:bCs w:val="false"/>
          <w:sz w:val="22"/>
          <w:szCs w:val="22"/>
        </w:rPr>
        <w:t xml:space="preserve"> (CK 6.465 straipsnio 1 dalis) ir Apdovanotasis neturi jokios priešpriešinės prievolės Dovanotojui ar trečiajam asmeniui.</w:t>
      </w:r>
    </w:p>
    <w:p>
      <w:pPr>
        <w:spacing w:after="160"/>
      </w:pPr>
      <w:r>
        <w:rPr>
          <w:b w:val="false"/>
          <w:bCs w:val="false"/>
          <w:sz w:val="22"/>
          <w:szCs w:val="22"/>
        </w:rPr>
        <w:t xml:space="preserve">2.3. Apdovanotasis patvirtina, kad su Dovanos objektu ir jo būkle susipažino ir </w:t>
      </w:r>
      <w:r>
        <w:rPr>
          <w:b/>
          <w:bCs/>
          <w:sz w:val="22"/>
          <w:szCs w:val="22"/>
        </w:rPr>
        <w:t xml:space="preserve">dovaną priima</w:t>
      </w:r>
      <w:r>
        <w:rPr>
          <w:b w:val="false"/>
          <w:bCs w:val="false"/>
          <w:sz w:val="22"/>
          <w:szCs w:val="22"/>
        </w:rPr>
        <w:t xml:space="preserve">.</w:t>
      </w:r>
    </w:p>
    <w:p>
      <w:pPr>
        <w:spacing w:after="160"/>
      </w:pPr>
      <w:r>
        <w:rPr>
          <w:b w:val="false"/>
          <w:bCs w:val="false"/>
          <w:sz w:val="22"/>
          <w:szCs w:val="22"/>
        </w:rPr>
        <w:t xml:space="preserve">2.4. Šalys gali susitarti dėl Dovanos objekto naudojimo pagal tam tikrą paskirtį (CK 6.467 straipsnis): </w:t>
      </w:r>
      <w:r>
        <w:rPr>
          <w:b/>
          <w:bCs/>
          <w:sz w:val="22"/>
          <w:szCs w:val="22"/>
        </w:rPr>
        <w:t xml:space="preserve">{{gift_purpose}}</w:t>
      </w:r>
      <w:r>
        <w:rPr>
          <w:b w:val="false"/>
          <w:bCs w:val="false"/>
          <w:sz w:val="22"/>
          <w:szCs w:val="22"/>
        </w:rPr>
        <w:t xml:space="preserve">. Jei paskirtis nenustatoma, šiame laukelyje įrašoma „netaikoma". Apdovanotajam paskirties sąlygos nevykdant, Dovanotojas turi teisę teismo tvarka reikalauti, kad sąlyga būtų įvykdyta, arba kad būtų panaikinta Sutartis ir turtas grąžintas (CK 6.467 straipsnio 2 dalis).</w:t>
      </w:r>
    </w:p>
    <w:p>
      <w:pPr>
        <w:spacing w:after="160"/>
      </w:pPr>
      <w:r>
        <w:rPr>
          <w:b w:val="false"/>
          <w:bCs w:val="false"/>
          <w:sz w:val="22"/>
          <w:szCs w:val="22"/>
        </w:rPr>
        <w:t xml:space="preserve">2.5. Šalys patvirtina, kad joms yra žinomi CK 6.469 straipsnyje nustatyti dovanojimo sutarties formos reikalavimai: sutartis, kuria dovanojama didesnė kaip </w:t>
      </w:r>
      <w:r>
        <w:rPr>
          <w:b/>
          <w:bCs/>
          <w:sz w:val="22"/>
          <w:szCs w:val="22"/>
        </w:rPr>
        <w:t xml:space="preserve">1 500 EUR</w:t>
      </w:r>
      <w:r>
        <w:rPr>
          <w:b w:val="false"/>
          <w:bCs w:val="false"/>
          <w:sz w:val="22"/>
          <w:szCs w:val="22"/>
        </w:rPr>
        <w:t xml:space="preserve"> suma, privalo būti rašytinės formos; </w:t>
      </w:r>
      <w:r>
        <w:rPr>
          <w:b/>
          <w:bCs/>
          <w:sz w:val="22"/>
          <w:szCs w:val="22"/>
        </w:rPr>
        <w:t xml:space="preserve">nekilnojamojo daikto</w:t>
      </w:r>
      <w:r>
        <w:rPr>
          <w:b w:val="false"/>
          <w:bCs w:val="false"/>
          <w:sz w:val="22"/>
          <w:szCs w:val="22"/>
        </w:rPr>
        <w:t xml:space="preserve"> dovanojimo sutartis, taip pat dovanojimo sutartis, kurios suma didesnė kaip </w:t>
      </w:r>
      <w:r>
        <w:rPr>
          <w:b/>
          <w:bCs/>
          <w:sz w:val="22"/>
          <w:szCs w:val="22"/>
        </w:rPr>
        <w:t xml:space="preserve">14 500 EUR</w:t>
      </w:r>
      <w:r>
        <w:rPr>
          <w:b w:val="false"/>
          <w:bCs w:val="false"/>
          <w:sz w:val="22"/>
          <w:szCs w:val="22"/>
        </w:rPr>
        <w:t xml:space="preserve">, privalo būti </w:t>
      </w:r>
      <w:r>
        <w:rPr>
          <w:b/>
          <w:bCs/>
          <w:sz w:val="22"/>
          <w:szCs w:val="22"/>
        </w:rPr>
        <w:t xml:space="preserve">notarinės formos</w:t>
      </w:r>
      <w:r>
        <w:rPr>
          <w:b w:val="false"/>
          <w:bCs w:val="false"/>
          <w:sz w:val="22"/>
          <w:szCs w:val="22"/>
        </w:rPr>
        <w:t xml:space="preserve">. Ši Sutartis tinka tik dovanoms, kurių vertė neviršija 14 500 EUR, ir netinka nekilnojamojo turto dovanojimui. Įstatymo reikalaujamos notarinės formos nesilaikymas daro sandorį negaliojantį (CK 1.93 straipsnio 3 dalis).</w:t>
      </w:r>
    </w:p>
    <w:p>
      <w:pPr>
        <w:pStyle w:val="Heading1"/>
        <w:spacing w:after="160" w:before="240"/>
      </w:pPr>
      <w:r>
        <w:rPr>
          <w:b/>
          <w:bCs/>
          <w:sz w:val="28"/>
          <w:szCs w:val="28"/>
        </w:rPr>
        <w:t xml:space="preserve">3. PERDAVIMAS IR NUOSAVYBĖS PERĖJIMAS</w:t>
      </w:r>
    </w:p>
    <w:p>
      <w:pPr>
        <w:spacing w:after="160"/>
      </w:pPr>
      <w:r>
        <w:rPr>
          <w:b w:val="false"/>
          <w:bCs w:val="false"/>
          <w:sz w:val="22"/>
          <w:szCs w:val="22"/>
        </w:rPr>
        <w:t xml:space="preserve">3.1. Dovanotojas perduoda Dovanos objektą Apdovanotajam ne vėliau kaip </w:t>
      </w:r>
      <w:r>
        <w:rPr>
          <w:b/>
          <w:bCs/>
          <w:sz w:val="22"/>
          <w:szCs w:val="22"/>
        </w:rPr>
        <w:t xml:space="preserve">{{transfer_date}}</w:t>
      </w:r>
      <w:r>
        <w:rPr>
          <w:b w:val="false"/>
          <w:bCs w:val="false"/>
          <w:sz w:val="22"/>
          <w:szCs w:val="22"/>
        </w:rPr>
        <w:t xml:space="preserve"> tokiu būdu: </w:t>
      </w:r>
      <w:r>
        <w:rPr>
          <w:b/>
          <w:bCs/>
          <w:sz w:val="22"/>
          <w:szCs w:val="22"/>
        </w:rPr>
        <w:t xml:space="preserve">{{transfer_method}}</w:t>
      </w:r>
      <w:r>
        <w:rPr>
          <w:b w:val="false"/>
          <w:bCs w:val="false"/>
          <w:sz w:val="22"/>
          <w:szCs w:val="22"/>
        </w:rPr>
        <w:t xml:space="preserve">.</w:t>
      </w:r>
    </w:p>
    <w:p>
      <w:pPr>
        <w:spacing w:after="160"/>
      </w:pPr>
      <w:r>
        <w:rPr>
          <w:b w:val="false"/>
          <w:bCs w:val="false"/>
          <w:sz w:val="22"/>
          <w:szCs w:val="22"/>
        </w:rPr>
        <w:t xml:space="preserve">3.2. Dovanojant pinigų sumą, Dovanotojas perveda ją į Apdovanotojo banko sąskaitą </w:t>
      </w:r>
      <w:r>
        <w:rPr>
          <w:b/>
          <w:bCs/>
          <w:sz w:val="22"/>
          <w:szCs w:val="22"/>
        </w:rPr>
        <w:t xml:space="preserve">{{donee_bank_account}}</w:t>
      </w:r>
      <w:r>
        <w:rPr>
          <w:b w:val="false"/>
          <w:bCs w:val="false"/>
          <w:sz w:val="22"/>
          <w:szCs w:val="22"/>
        </w:rPr>
        <w:t xml:space="preserve">. Mokėjimo paskirtyje Dovanotojas nurodo nuorodą į šią Sutartį (Sutarties numerį ir datą), pvz., „Dovana pagal {{contract_date}} dovanojimo sutartį".</w:t>
      </w:r>
    </w:p>
    <w:p>
      <w:pPr>
        <w:spacing w:after="160"/>
      </w:pPr>
      <w:r>
        <w:rPr>
          <w:b w:val="false"/>
          <w:bCs w:val="false"/>
          <w:sz w:val="22"/>
          <w:szCs w:val="22"/>
        </w:rPr>
        <w:t xml:space="preserve">3.3. Šalys patvirtina žinančios, kad pagal Lietuvos Respublikos atsiskaitymų grynaisiais pinigais ribojimo įstatymą </w:t>
      </w:r>
      <w:r>
        <w:rPr>
          <w:b/>
          <w:bCs/>
          <w:sz w:val="22"/>
          <w:szCs w:val="22"/>
        </w:rPr>
        <w:t xml:space="preserve">atsiskaitymai grynaisiais pinigais, viršijantys 5 000 EUR, yra draudžiami</w:t>
      </w:r>
      <w:r>
        <w:rPr>
          <w:b w:val="false"/>
          <w:bCs w:val="false"/>
          <w:sz w:val="22"/>
          <w:szCs w:val="22"/>
        </w:rPr>
        <w:t xml:space="preserve"> — didesnė kaip 5 000 EUR pinigų suma dovanojama tik banko pavedimu.</w:t>
      </w:r>
    </w:p>
    <w:p>
      <w:pPr>
        <w:spacing w:after="160"/>
      </w:pPr>
      <w:r>
        <w:rPr>
          <w:b w:val="false"/>
          <w:bCs w:val="false"/>
          <w:sz w:val="22"/>
          <w:szCs w:val="22"/>
        </w:rPr>
        <w:t xml:space="preserve">3.4. Nuosavybės teisė į Dovanos objektą Apdovanotajam pereina </w:t>
      </w:r>
      <w:r>
        <w:rPr>
          <w:b/>
          <w:bCs/>
          <w:sz w:val="22"/>
          <w:szCs w:val="22"/>
        </w:rPr>
        <w:t xml:space="preserve">nuo Dovanos objekto perdavimo momento</w:t>
      </w:r>
      <w:r>
        <w:rPr>
          <w:b w:val="false"/>
          <w:bCs w:val="false"/>
          <w:sz w:val="22"/>
          <w:szCs w:val="22"/>
        </w:rPr>
        <w:t xml:space="preserve">: kilnojamojo daikto — nuo daikto faktinio perdavimo, pinigų — nuo sumos įskaitymo į Apdovanotojo banko sąskaitą, jeigu Sutartyje nenustatyta kitaip.</w:t>
      </w:r>
    </w:p>
    <w:p>
      <w:pPr>
        <w:spacing w:after="160"/>
      </w:pPr>
      <w:r>
        <w:rPr>
          <w:b w:val="false"/>
          <w:bCs w:val="false"/>
          <w:sz w:val="22"/>
          <w:szCs w:val="22"/>
        </w:rPr>
        <w:t xml:space="preserve">3.5. Iki perdavimo Dovanotojas saugo Dovanos objektą rūpestingai. Dovanotojas privalo perduoti Dovanos objektą be Sutartyje nenurodytų teisės suvaržymų (CK 6.473 straipsnio 1 dalis). Sutarties sudarymo ir įvykdymo išlaidas apmoka Dovanotojas, jeigu Šalys nesusitaria kitaip (CK 6.473 straipsnio 4 dalis).</w:t>
      </w:r>
    </w:p>
    <w:p>
      <w:pPr>
        <w:pStyle w:val="Heading1"/>
        <w:spacing w:after="160" w:before="240"/>
      </w:pPr>
      <w:r>
        <w:rPr>
          <w:b/>
          <w:bCs/>
          <w:sz w:val="28"/>
          <w:szCs w:val="28"/>
        </w:rPr>
        <w:t xml:space="preserve">4. DOVANOTOJO PATVIRTINIMAI</w:t>
      </w:r>
    </w:p>
    <w:p>
      <w:pPr>
        <w:spacing w:after="160"/>
      </w:pPr>
      <w:r>
        <w:rPr>
          <w:b w:val="false"/>
          <w:bCs w:val="false"/>
          <w:sz w:val="22"/>
          <w:szCs w:val="22"/>
        </w:rPr>
        <w:t xml:space="preserve">4.1. Dovanotojas patvirtina, kad Dovanos objektas priklauso jam nuosavybės teise ir jis turi teisę Dovanos objektą perleisti (CK 6.470 straipsnio 3 dalis).</w:t>
      </w:r>
    </w:p>
    <w:p>
      <w:pPr>
        <w:spacing w:after="160"/>
      </w:pPr>
      <w:r>
        <w:rPr>
          <w:b w:val="false"/>
          <w:bCs w:val="false"/>
          <w:sz w:val="22"/>
          <w:szCs w:val="22"/>
        </w:rPr>
        <w:t xml:space="preserve">4.2. Dovanotojas patvirtina, kad Dovanos objektas nėra įkeistas, areštuotas, neapsunkintas trečiųjų asmenų teisėmis ir dėl jo nevyksta teismo ar išieškojimo procesas.</w:t>
      </w:r>
    </w:p>
    <w:p>
      <w:pPr>
        <w:spacing w:after="160"/>
      </w:pPr>
      <w:r>
        <w:rPr>
          <w:b w:val="false"/>
          <w:bCs w:val="false"/>
          <w:sz w:val="22"/>
          <w:szCs w:val="22"/>
        </w:rPr>
        <w:t xml:space="preserve">4.3. Dovanotojas patvirtina, kad, jo žiniomis, Dovanos objektas neturi paslėptų trūkumų. Šalys patvirtina žinančios, kad Dovanotojas neatsako už Dovanos objekto trūkumus, apie kuriuos jis nežinojo, tačiau atsako už nuostolius, jeigu apie jam žinomus trūkumus ar teisės suvaržymus Apdovanotojo neįspėjo (CK 6.473 straipsnio 2 ir 3 dalys).</w:t>
      </w:r>
    </w:p>
    <w:p>
      <w:pPr>
        <w:spacing w:after="160"/>
      </w:pPr>
      <w:r>
        <w:rPr>
          <w:b w:val="false"/>
          <w:bCs w:val="false"/>
          <w:sz w:val="22"/>
          <w:szCs w:val="22"/>
        </w:rPr>
        <w:t xml:space="preserve">4.4. Dovanotojas patvirtina, kad jis yra mokus ir Dovanos objekto dovanojimas nepažeidžia jo kreditorių teisių. Šalys patvirtina žinančios, kad neatlygintinį sandorį, pažeidžiantį kreditoriaus teises, kreditorius gali ginčyti teismo tvarka actio Pauliana pagrindu (CK 6.66 straipsnis) nepriklausomai nuo Apdovanotojo sąžiningumo.</w:t>
      </w:r>
    </w:p>
    <w:p>
      <w:pPr>
        <w:spacing w:after="160"/>
      </w:pPr>
      <w:r>
        <w:rPr>
          <w:b w:val="false"/>
          <w:bCs w:val="false"/>
          <w:sz w:val="22"/>
          <w:szCs w:val="22"/>
        </w:rPr>
        <w:t xml:space="preserve">4.5. Dovanotojas patvirtina, kad Dovanos objektas nėra bendroji jungtinė sutuoktinių (bendraturčių) nuosavybė arba kad dovanojimui yra gautas rašytinis sutuoktinio (bendraturčių) sutikimas pagal CK 6.471 straipsnio 1 dalį (Sutarties 6.2 punktas).</w:t>
      </w:r>
    </w:p>
    <w:p>
      <w:pPr>
        <w:pStyle w:val="Heading1"/>
        <w:spacing w:after="160" w:before="240"/>
      </w:pPr>
      <w:r>
        <w:rPr>
          <w:b/>
          <w:bCs/>
          <w:sz w:val="28"/>
          <w:szCs w:val="28"/>
        </w:rPr>
        <w:t xml:space="preserve">5. DOVANOJIMO PANAIKINIMAS</w:t>
      </w:r>
    </w:p>
    <w:p>
      <w:pPr>
        <w:spacing w:after="160"/>
      </w:pPr>
      <w:r>
        <w:rPr>
          <w:b w:val="false"/>
          <w:bCs w:val="false"/>
          <w:sz w:val="22"/>
          <w:szCs w:val="22"/>
        </w:rPr>
        <w:t xml:space="preserve">5.1. Šalys patvirtina žinančios, kad dovanojimas gali būti panaikintas </w:t>
      </w:r>
      <w:r>
        <w:rPr>
          <w:b/>
          <w:bCs/>
          <w:sz w:val="22"/>
          <w:szCs w:val="22"/>
        </w:rPr>
        <w:t xml:space="preserve">tik teismo tvarka</w:t>
      </w:r>
      <w:r>
        <w:rPr>
          <w:b w:val="false"/>
          <w:bCs w:val="false"/>
          <w:sz w:val="22"/>
          <w:szCs w:val="22"/>
        </w:rPr>
        <w:t xml:space="preserve"> CK 6.472 straipsnyje nustatytais pagrindais: (a) kai Apdovanotasis pasikėsina į Dovanotojo ar jo artimųjų giminaičių gyvybę arba tyčia juos sunkiai sužaloja; (b) kai Apdovanotasis atlieka prieš Dovanotoją veiksmus, kurie neabejotinai griežtai smerktini geros moralės požiūriu; (c) kai Apdovanotasis su dovanotu turtu, turinčiu Dovanotojui didelės neturtinės reikšmės, elgiasi taip, kad kyla reali to turto žuvimo grėsmė.</w:t>
      </w:r>
    </w:p>
    <w:p>
      <w:pPr>
        <w:spacing w:after="160"/>
      </w:pPr>
      <w:r>
        <w:rPr>
          <w:b w:val="false"/>
          <w:bCs w:val="false"/>
          <w:sz w:val="22"/>
          <w:szCs w:val="22"/>
        </w:rPr>
        <w:t xml:space="preserve">5.2. Panaikinus dovanojimą, Apdovanotasis privalo grąžinti dovanotą turtą, jeigu jis panaikinimo metu yra išlikęs (CK 6.472 straipsnio 3 dalis).</w:t>
      </w:r>
    </w:p>
    <w:p>
      <w:pPr>
        <w:spacing w:after="160"/>
      </w:pPr>
      <w:r>
        <w:rPr>
          <w:b w:val="false"/>
          <w:bCs w:val="false"/>
          <w:sz w:val="22"/>
          <w:szCs w:val="22"/>
        </w:rPr>
        <w:t xml:space="preserve">5.3. Reikalavimui panaikinti dovanojimą taikomas </w:t>
      </w:r>
      <w:r>
        <w:rPr>
          <w:b/>
          <w:bCs/>
          <w:sz w:val="22"/>
          <w:szCs w:val="22"/>
        </w:rPr>
        <w:t xml:space="preserve">vienerių metų ieškinio senaties terminas</w:t>
      </w:r>
      <w:r>
        <w:rPr>
          <w:b w:val="false"/>
          <w:bCs w:val="false"/>
          <w:sz w:val="22"/>
          <w:szCs w:val="22"/>
        </w:rPr>
        <w:t xml:space="preserve">, skaičiuojamas nuo dienos, kurią Dovanotojas (ar jo įpėdiniai) sužinojo arba turėjo sužinoti apie panaikinimo pagrindo atsiradimą (CK 6.472 straipsnio 4 dalis).</w:t>
      </w:r>
    </w:p>
    <w:p>
      <w:pPr>
        <w:spacing w:after="160"/>
      </w:pPr>
      <w:r>
        <w:rPr>
          <w:b w:val="false"/>
          <w:bCs w:val="false"/>
          <w:sz w:val="22"/>
          <w:szCs w:val="22"/>
        </w:rPr>
        <w:t xml:space="preserve">5.4. Šalys patvirtina žinančios, kad sutarties sąlyga, suteikianti Dovanotojui teisę vienašaliu sprendimu atsiimti dovanotą turtą, </w:t>
      </w:r>
      <w:r>
        <w:rPr>
          <w:b/>
          <w:bCs/>
          <w:sz w:val="22"/>
          <w:szCs w:val="22"/>
        </w:rPr>
        <w:t xml:space="preserve">negalioja</w:t>
      </w:r>
      <w:r>
        <w:rPr>
          <w:b w:val="false"/>
          <w:bCs w:val="false"/>
          <w:sz w:val="22"/>
          <w:szCs w:val="22"/>
        </w:rPr>
        <w:t xml:space="preserve"> (CK 6.465 straipsnio 3 dalis), o sutartis, pagal kurią dovana pereitų Apdovanotajam </w:t>
      </w:r>
      <w:r>
        <w:rPr>
          <w:b/>
          <w:bCs/>
          <w:sz w:val="22"/>
          <w:szCs w:val="22"/>
        </w:rPr>
        <w:t xml:space="preserve">po Dovanotojo mirties, negalioja</w:t>
      </w:r>
      <w:r>
        <w:rPr>
          <w:b w:val="false"/>
          <w:bCs w:val="false"/>
          <w:sz w:val="22"/>
          <w:szCs w:val="22"/>
        </w:rPr>
        <w:t xml:space="preserve"> (CK 6.466 straipsnio 1 dalis). Ši Sutartis tokių sąlygų neturi ir negali turėti.</w:t>
      </w:r>
    </w:p>
    <w:p>
      <w:pPr>
        <w:pStyle w:val="Heading1"/>
        <w:spacing w:after="160" w:before="240"/>
      </w:pPr>
      <w:r>
        <w:rPr>
          <w:b/>
          <w:bCs/>
          <w:sz w:val="28"/>
          <w:szCs w:val="28"/>
        </w:rPr>
        <w:t xml:space="preserve">6. SPECIALIOSIOS SĄLYGOS</w:t>
      </w:r>
    </w:p>
    <w:p>
      <w:pPr>
        <w:pStyle w:val="Heading2"/>
        <w:spacing w:after="120" w:before="180"/>
      </w:pPr>
      <w:r>
        <w:rPr>
          <w:b/>
          <w:bCs/>
          <w:sz w:val="24"/>
          <w:szCs w:val="24"/>
        </w:rPr>
        <w:t xml:space="preserve">6.1. Transporto priemonės specialiosios sąlygos</w:t>
      </w:r>
    </w:p>
    <w:p>
      <w:pPr>
        <w:spacing w:after="160"/>
      </w:pPr>
      <w:r>
        <w:rPr>
          <w:b w:val="false"/>
          <w:bCs w:val="false"/>
          <w:sz w:val="22"/>
          <w:szCs w:val="22"/>
        </w:rPr>
        <w:t xml:space="preserve">Šis 6.1 punktas taikomas, jeigu Dovanos objektas yra transporto priemonė.</w:t>
      </w:r>
    </w:p>
    <w:p>
      <w:pPr>
        <w:spacing w:after="160"/>
      </w:pPr>
      <w:r>
        <w:rPr>
          <w:b w:val="false"/>
          <w:bCs w:val="false"/>
          <w:sz w:val="22"/>
          <w:szCs w:val="22"/>
        </w:rPr>
        <w:t xml:space="preserve">6.1.1. Transporto priemonės duomenys: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Markė ir modelis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{{vehicle_make_model}}</w:t>
            </w:r>
          </w:p>
        </w:tc>
      </w:tr>
      <w:tr>
        <w:tc>
          <w:tcPr>
            <w:tcW w:type="pct" w:w="50%"/>
            <w:tcMar>
              <w:top w:type="dxa" w:w="80"/>
              <w:left w:type="dxa" w:w="120"/>
              <w:bottom w:type="dxa" w:w="80"/>
              <w:right w:type="dxa" w:w="120"/>
            </w:tcMar>
          </w:tcPr>
          <w:p>
            <w:pPr>
              <w:spacing w:after="40" w:before="40"/>
            </w:pPr>
            <w:r>
              <w:rPr>
                <w:b/>
                <w:bCs/>
                <w:sz w:val="22"/>
                <w:szCs w:val="22"/>
              </w:rPr>
              <w:t xml:space="preserve">Valstybinis numeris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{{vehicle_reg_number}}</w:t>
            </w:r>
          </w:p>
        </w:tc>
      </w:tr>
      <w:tr>
        <w:tc>
          <w:tcPr>
            <w:tcW w:type="pct" w:w="50%"/>
            <w:tcMar>
              <w:top w:type="dxa" w:w="80"/>
              <w:left w:type="dxa" w:w="120"/>
              <w:bottom w:type="dxa" w:w="80"/>
              <w:right w:type="dxa" w:w="120"/>
            </w:tcMar>
          </w:tcPr>
          <w:p>
            <w:pPr>
              <w:spacing w:after="40" w:before="40"/>
            </w:pPr>
            <w:r>
              <w:rPr>
                <w:b/>
                <w:bCs/>
                <w:sz w:val="22"/>
                <w:szCs w:val="22"/>
              </w:rPr>
              <w:t xml:space="preserve">VIN kodas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{{vehicle_vin}}</w:t>
            </w:r>
          </w:p>
        </w:tc>
      </w:tr>
      <w:tr>
        <w:tc>
          <w:tcPr>
            <w:tcW w:type="pct" w:w="50%"/>
            <w:tcMar>
              <w:top w:type="dxa" w:w="80"/>
              <w:left w:type="dxa" w:w="120"/>
              <w:bottom w:type="dxa" w:w="80"/>
              <w:right w:type="dxa" w:w="120"/>
            </w:tcMar>
          </w:tcPr>
          <w:p>
            <w:pPr>
              <w:spacing w:after="40" w:before="40"/>
            </w:pPr>
            <w:r>
              <w:rPr>
                <w:b/>
                <w:bCs/>
                <w:sz w:val="22"/>
                <w:szCs w:val="22"/>
              </w:rPr>
              <w:t xml:space="preserve">Pirmosios registracijos metai</w:t>
            </w:r>
          </w:p>
        </w:tc>
        <w:tc>
          <w:tcPr>
            <w:tcW w:type="pct" w:w="50%"/>
            <w:tcMar>
              <w:top w:type="dxa" w:w="80"/>
              <w:left w:type="dxa" w:w="120"/>
              <w:bottom w:type="dxa" w:w="80"/>
              <w:right w:type="dxa" w:w="120"/>
            </w:tcMar>
          </w:tcPr>
          <w:p>
            <w:pPr>
              <w:spacing w:after="40" w:before="40"/>
            </w:pPr>
            <w:r>
              <w:rPr>
                <w:b w:val="false"/>
                <w:bCs w:val="false"/>
                <w:sz w:val="22"/>
                <w:szCs w:val="22"/>
              </w:rPr>
              <w:t xml:space="preserve">{{vehicle_year}}</w:t>
            </w:r>
          </w:p>
        </w:tc>
      </w:tr>
      <w:tr>
        <w:tc>
          <w:tcPr>
            <w:tcW w:type="pct" w:w="50%"/>
            <w:tcMar>
              <w:top w:type="dxa" w:w="80"/>
              <w:left w:type="dxa" w:w="120"/>
              <w:bottom w:type="dxa" w:w="80"/>
              <w:right w:type="dxa" w:w="120"/>
            </w:tcMar>
          </w:tcPr>
          <w:p>
            <w:pPr>
              <w:spacing w:after="40" w:before="40"/>
            </w:pPr>
            <w:r>
              <w:rPr>
                <w:b/>
                <w:bCs/>
                <w:sz w:val="22"/>
                <w:szCs w:val="22"/>
              </w:rPr>
              <w:t xml:space="preserve">Rida (km)</w:t>
            </w:r>
          </w:p>
        </w:tc>
        <w:tc>
          <w:tcPr>
            <w:tcW w:type="pct" w:w="50%"/>
            <w:tcMar>
              <w:top w:type="dxa" w:w="80"/>
              <w:left w:type="dxa" w:w="120"/>
              <w:bottom w:type="dxa" w:w="80"/>
              <w:right w:type="dxa" w:w="120"/>
            </w:tcMar>
          </w:tcPr>
          <w:p>
            <w:pPr>
              <w:spacing w:after="40" w:before="40"/>
            </w:pPr>
            <w:r>
              <w:rPr>
                <w:b w:val="false"/>
                <w:bCs w:val="false"/>
                <w:sz w:val="22"/>
                <w:szCs w:val="22"/>
              </w:rPr>
              <w:t xml:space="preserve">{{vehicle_mileage}}</w:t>
            </w:r>
          </w:p>
        </w:tc>
      </w:tr>
    </w:tbl>
    <w:p>
      <w:pPr>
        <w:spacing w:after="120"/>
      </w:pPr>
      <w:r>
        <w:rPr>
          <w:sz w:val="22"/>
          <w:szCs w:val="22"/>
        </w:rPr>
        <w:t xml:space="preserve"/>
      </w:r>
    </w:p>
    <w:p>
      <w:pPr>
        <w:spacing w:after="160"/>
      </w:pPr>
      <w:r>
        <w:rPr>
          <w:b w:val="false"/>
          <w:bCs w:val="false"/>
          <w:sz w:val="22"/>
          <w:szCs w:val="22"/>
        </w:rPr>
        <w:t xml:space="preserve">6.1.2. Apdovanotasis įsipareigoja </w:t>
      </w:r>
      <w:r>
        <w:rPr>
          <w:b/>
          <w:bCs/>
          <w:sz w:val="22"/>
          <w:szCs w:val="22"/>
        </w:rPr>
        <w:t xml:space="preserve">deklaruoti transporto priemonės įgijimą VĮ „Regitra" elektroninėje sistemoje per 5 darbo dienas</w:t>
      </w:r>
      <w:r>
        <w:rPr>
          <w:b w:val="false"/>
          <w:bCs w:val="false"/>
          <w:sz w:val="22"/>
          <w:szCs w:val="22"/>
        </w:rPr>
        <w:t xml:space="preserve"> nuo Dovanos objekto perdavimo, o Dovanotojas įsipareigoja patvirtinti perleidimą per 5 darbo dienas nuo Apdovanotojo deklaravimo. Transporto priemonės perregistravimas atliekamas ne vėliau kaip </w:t>
      </w:r>
      <w:r>
        <w:rPr>
          <w:b/>
          <w:bCs/>
          <w:sz w:val="22"/>
          <w:szCs w:val="22"/>
        </w:rPr>
        <w:t xml:space="preserve">{{reregistration_deadline}}</w:t>
      </w:r>
      <w:r>
        <w:rPr>
          <w:b w:val="false"/>
          <w:bCs w:val="false"/>
          <w:sz w:val="22"/>
          <w:szCs w:val="22"/>
        </w:rPr>
        <w:t xml:space="preserve">. Perregistravimo išlaidas (Regitros rinkliavas) apmoka </w:t>
      </w:r>
      <w:r>
        <w:rPr>
          <w:b/>
          <w:bCs/>
          <w:sz w:val="22"/>
          <w:szCs w:val="22"/>
        </w:rPr>
        <w:t xml:space="preserve">{{reregistration_costs_payer}}</w:t>
      </w:r>
      <w:r>
        <w:rPr>
          <w:b w:val="false"/>
          <w:bCs w:val="false"/>
          <w:sz w:val="22"/>
          <w:szCs w:val="22"/>
        </w:rPr>
        <w:t xml:space="preserve">.</w:t>
      </w:r>
    </w:p>
    <w:p>
      <w:pPr>
        <w:spacing w:after="160"/>
      </w:pPr>
      <w:r>
        <w:rPr>
          <w:b w:val="false"/>
          <w:bCs w:val="false"/>
          <w:sz w:val="22"/>
          <w:szCs w:val="22"/>
        </w:rPr>
        <w:t xml:space="preserve">6.1.3. Prieš transporto priemonės registraciją savo vardu Apdovanotasis privalo sudaryti </w:t>
      </w:r>
      <w:r>
        <w:rPr>
          <w:b/>
          <w:bCs/>
          <w:sz w:val="22"/>
          <w:szCs w:val="22"/>
        </w:rPr>
        <w:t xml:space="preserve">transporto priemonių valdytojų civilinės atsakomybės privalomojo draudimo</w:t>
      </w:r>
      <w:r>
        <w:rPr>
          <w:b w:val="false"/>
          <w:bCs w:val="false"/>
          <w:sz w:val="22"/>
          <w:szCs w:val="22"/>
        </w:rPr>
        <w:t xml:space="preserve"> sutartį savo vardu.</w:t>
      </w:r>
    </w:p>
    <w:p>
      <w:pPr>
        <w:spacing w:after="160"/>
      </w:pPr>
      <w:r>
        <w:rPr>
          <w:b w:val="false"/>
          <w:bCs w:val="false"/>
          <w:sz w:val="22"/>
          <w:szCs w:val="22"/>
        </w:rPr>
        <w:t xml:space="preserve">6.1.4. Šalys patvirtina žinančios, kad iki perregistravimo registro duomenyse transporto priemonės savininku laikomas Dovanotojas ir su transporto priemone susiję mokesčiai, baudos bei pareigos gali tekti Dovanotojui. Ši Sutartis yra VĮ „Regitra" pripažįstamas nuosavybės teisę patvirtinantis dokumentas.</w:t>
      </w:r>
    </w:p>
    <w:p>
      <w:pPr>
        <w:pStyle w:val="Heading2"/>
        <w:spacing w:after="120" w:before="180"/>
      </w:pPr>
      <w:r>
        <w:rPr>
          <w:b/>
          <w:bCs/>
          <w:sz w:val="24"/>
          <w:szCs w:val="24"/>
        </w:rPr>
        <w:t xml:space="preserve">6.2. Sutuoktinio sutikimas</w:t>
      </w:r>
    </w:p>
    <w:p>
      <w:pPr>
        <w:spacing w:after="160"/>
      </w:pPr>
      <w:r>
        <w:rPr>
          <w:b w:val="false"/>
          <w:bCs w:val="false"/>
          <w:sz w:val="22"/>
          <w:szCs w:val="22"/>
        </w:rPr>
        <w:t xml:space="preserve">Šis 6.2 punktas taikomas, jeigu Dovanos objektas yra bendroji jungtinė sutuoktinių nuosavybė.</w:t>
      </w:r>
    </w:p>
    <w:p>
      <w:pPr>
        <w:spacing w:after="160"/>
      </w:pPr>
      <w:r>
        <w:rPr>
          <w:b w:val="false"/>
          <w:bCs w:val="false"/>
          <w:sz w:val="22"/>
          <w:szCs w:val="22"/>
        </w:rPr>
        <w:t xml:space="preserve">6.2.1. Dovanotojo sutuoktinis (-ė) </w:t>
      </w:r>
      <w:r>
        <w:rPr>
          <w:b/>
          <w:bCs/>
          <w:sz w:val="22"/>
          <w:szCs w:val="22"/>
        </w:rPr>
        <w:t xml:space="preserve">{{donor_spouse_name}}</w:t>
      </w:r>
      <w:r>
        <w:rPr>
          <w:b w:val="false"/>
          <w:bCs w:val="false"/>
          <w:sz w:val="22"/>
          <w:szCs w:val="22"/>
        </w:rPr>
        <w:t xml:space="preserve"> (asmens kodas {{donor_spouse_id_code}}) duoda </w:t>
      </w:r>
      <w:r>
        <w:rPr>
          <w:b/>
          <w:bCs/>
          <w:sz w:val="22"/>
          <w:szCs w:val="22"/>
        </w:rPr>
        <w:t xml:space="preserve">rašytinį sutikimą</w:t>
      </w:r>
      <w:r>
        <w:rPr>
          <w:b w:val="false"/>
          <w:bCs w:val="false"/>
          <w:sz w:val="22"/>
          <w:szCs w:val="22"/>
        </w:rPr>
        <w:t xml:space="preserve"> dovanoti Dovanos objektą šioje Sutartyje nustatytomis sąlygomis pagal CK 6.471 straipsnio 1 dalį ir tai patvirtina pasirašydamas (-a) Sutartį.</w:t>
      </w:r>
    </w:p>
    <w:p>
      <w:pPr>
        <w:pStyle w:val="Heading2"/>
        <w:spacing w:after="120" w:before="180"/>
      </w:pPr>
      <w:r>
        <w:rPr>
          <w:b/>
          <w:bCs/>
          <w:sz w:val="24"/>
          <w:szCs w:val="24"/>
        </w:rPr>
        <w:t xml:space="preserve">6.3. Formos reikalavimų patvirtinimas</w:t>
      </w:r>
    </w:p>
    <w:p>
      <w:pPr>
        <w:spacing w:after="160"/>
      </w:pPr>
      <w:r>
        <w:rPr>
          <w:b w:val="false"/>
          <w:bCs w:val="false"/>
          <w:sz w:val="22"/>
          <w:szCs w:val="22"/>
        </w:rPr>
        <w:t xml:space="preserve">6.3.1. Šalys patvirtina žinančios, kad </w:t>
      </w:r>
      <w:r>
        <w:rPr>
          <w:b/>
          <w:bCs/>
          <w:sz w:val="22"/>
          <w:szCs w:val="22"/>
        </w:rPr>
        <w:t xml:space="preserve">nekilnojamojo daikto</w:t>
      </w:r>
      <w:r>
        <w:rPr>
          <w:b w:val="false"/>
          <w:bCs w:val="false"/>
          <w:sz w:val="22"/>
          <w:szCs w:val="22"/>
        </w:rPr>
        <w:t xml:space="preserve"> (žemės, buto, namo) dovanojimo sutartis privalo būti </w:t>
      </w:r>
      <w:r>
        <w:rPr>
          <w:b/>
          <w:bCs/>
          <w:sz w:val="22"/>
          <w:szCs w:val="22"/>
        </w:rPr>
        <w:t xml:space="preserve">notarinės formos</w:t>
      </w:r>
      <w:r>
        <w:rPr>
          <w:b w:val="false"/>
          <w:bCs w:val="false"/>
          <w:sz w:val="22"/>
          <w:szCs w:val="22"/>
        </w:rPr>
        <w:t xml:space="preserve">, o teisines pasekmes tretiesiems asmenims ji sukelia tik įregistravus Registrų centre (CK 6.469 straipsnio 2 ir 3 dalys). Paprastos rašytinės ar elektroninės formos nekilnojamojo turto dovanojimo sutartis negalioja — šiuo atveju ši Sutartis netinka ir Šalys privalo kreiptis į notarą.</w:t>
      </w:r>
    </w:p>
    <w:p>
      <w:pPr>
        <w:spacing w:after="160"/>
      </w:pPr>
      <w:r>
        <w:rPr>
          <w:b w:val="false"/>
          <w:bCs w:val="false"/>
          <w:sz w:val="22"/>
          <w:szCs w:val="22"/>
        </w:rPr>
        <w:t xml:space="preserve">6.3.2. Šalys patvirtina žinančios, kad dovanojimo sutartis, kurios suma didesnė kaip </w:t>
      </w:r>
      <w:r>
        <w:rPr>
          <w:b/>
          <w:bCs/>
          <w:sz w:val="22"/>
          <w:szCs w:val="22"/>
        </w:rPr>
        <w:t xml:space="preserve">14 500 EUR</w:t>
      </w:r>
      <w:r>
        <w:rPr>
          <w:b w:val="false"/>
          <w:bCs w:val="false"/>
          <w:sz w:val="22"/>
          <w:szCs w:val="22"/>
        </w:rPr>
        <w:t xml:space="preserve">, privalo būti </w:t>
      </w:r>
      <w:r>
        <w:rPr>
          <w:b/>
          <w:bCs/>
          <w:sz w:val="22"/>
          <w:szCs w:val="22"/>
        </w:rPr>
        <w:t xml:space="preserve">notarinės formos</w:t>
      </w:r>
      <w:r>
        <w:rPr>
          <w:b w:val="false"/>
          <w:bCs w:val="false"/>
          <w:sz w:val="22"/>
          <w:szCs w:val="22"/>
        </w:rPr>
        <w:t xml:space="preserve"> (CK 6.469 straipsnio 2 dalis) — tokiai dovanai ši Sutartis netinka.</w:t>
      </w:r>
    </w:p>
    <w:p>
      <w:pPr>
        <w:spacing w:after="160"/>
      </w:pPr>
      <w:r>
        <w:rPr>
          <w:b w:val="false"/>
          <w:bCs w:val="false"/>
          <w:sz w:val="22"/>
          <w:szCs w:val="22"/>
        </w:rPr>
        <w:t xml:space="preserve">6.3.3. Šalys patvirtina žinančios, kad uždarosios akcinės bendrovės akcijų ar dalių dovanojimui taikomi specialūs įstatymų reikalavimai (įskaitant Akcinių bendrovių įstatymo nustatytą perleidimo tvarką, o tam tikrais atvejais — notarinę formą), todėl tokiam sandoriui rekomenduojama teisininko ar notaro konsultacija.</w:t>
      </w:r>
    </w:p>
    <w:p>
      <w:pPr>
        <w:pStyle w:val="Heading1"/>
        <w:spacing w:after="160" w:before="240"/>
      </w:pPr>
      <w:r>
        <w:rPr>
          <w:b/>
          <w:bCs/>
          <w:sz w:val="28"/>
          <w:szCs w:val="28"/>
        </w:rPr>
        <w:t xml:space="preserve">7. BAIGIAMOSIOS NUOSTATOS</w:t>
      </w:r>
    </w:p>
    <w:p>
      <w:pPr>
        <w:spacing w:after="160"/>
      </w:pPr>
      <w:r>
        <w:rPr>
          <w:b w:val="false"/>
          <w:bCs w:val="false"/>
          <w:sz w:val="22"/>
          <w:szCs w:val="22"/>
        </w:rPr>
        <w:t xml:space="preserve">7.1. Šalys viena kitai pranešimus siunčia Sutarties 1 punkte nurodytais kontaktiniais duomenimis. Pranešimas laikomas gautu, kai jis išsiųstas el. pašto adresu — išsiuntimo dieną (jeigu negautas klaidos pranešimas), o registruotu laišku — trečią darbo dieną po išsiuntimo.</w:t>
      </w:r>
    </w:p>
    <w:p>
      <w:pPr>
        <w:spacing w:after="160"/>
      </w:pPr>
      <w:r>
        <w:rPr>
          <w:b w:val="false"/>
          <w:bCs w:val="false"/>
          <w:sz w:val="22"/>
          <w:szCs w:val="22"/>
        </w:rPr>
        <w:t xml:space="preserve">7.2. Iš šios Sutarties kylančius ginčus Šalys sprendžia derybomis. Nepavykus susitarti, ginčai sprendžiami </w:t>
      </w:r>
      <w:r>
        <w:rPr>
          <w:b/>
          <w:bCs/>
          <w:sz w:val="22"/>
          <w:szCs w:val="22"/>
        </w:rPr>
        <w:t xml:space="preserve">{{dispute_forum}}</w:t>
      </w:r>
      <w:r>
        <w:rPr>
          <w:b w:val="false"/>
          <w:bCs w:val="false"/>
          <w:sz w:val="22"/>
          <w:szCs w:val="22"/>
        </w:rPr>
        <w:t xml:space="preserve"> Lietuvos Respublikos civilinio proceso kodekso nustatyta tvarka.</w:t>
      </w:r>
    </w:p>
    <w:p>
      <w:pPr>
        <w:spacing w:after="160"/>
      </w:pPr>
      <w:r>
        <w:rPr>
          <w:b w:val="false"/>
          <w:bCs w:val="false"/>
          <w:sz w:val="22"/>
          <w:szCs w:val="22"/>
        </w:rPr>
        <w:t xml:space="preserve">7.3. Šiai Sutarčiai taikoma </w:t>
      </w:r>
      <w:r>
        <w:rPr>
          <w:b/>
          <w:bCs/>
          <w:sz w:val="22"/>
          <w:szCs w:val="22"/>
        </w:rPr>
        <w:t xml:space="preserve">Lietuvos Respublikos teisė</w:t>
      </w:r>
      <w:r>
        <w:rPr>
          <w:b w:val="false"/>
          <w:bCs w:val="false"/>
          <w:sz w:val="22"/>
          <w:szCs w:val="22"/>
        </w:rPr>
        <w:t xml:space="preserve">.</w:t>
      </w:r>
    </w:p>
    <w:p>
      <w:pPr>
        <w:spacing w:after="160"/>
      </w:pPr>
      <w:r>
        <w:rPr>
          <w:b w:val="false"/>
          <w:bCs w:val="false"/>
          <w:sz w:val="22"/>
          <w:szCs w:val="22"/>
        </w:rPr>
        <w:t xml:space="preserve">7.4. Sutartis gali būti keičiama ir pildoma tik rašytiniu Šalių susitarimu, kuris įforminamas kaip Sutarties priedas.</w:t>
      </w:r>
    </w:p>
    <w:p>
      <w:pPr>
        <w:spacing w:after="160"/>
      </w:pPr>
      <w:r>
        <w:rPr>
          <w:b w:val="false"/>
          <w:bCs w:val="false"/>
          <w:sz w:val="22"/>
          <w:szCs w:val="22"/>
        </w:rPr>
        <w:t xml:space="preserve">7.5. Jeigu kuri nors Sutarties nuostata pripažįstama negaliojančia, tai nedaro negaliojančių kitų Sutarties nuostatų. Negaliojanti nuostata pakeičiama įstatymus atitinkančia nuostata, kuri labiausiai atitinka pirminę Šalių valią.</w:t>
      </w:r>
    </w:p>
    <w:p>
      <w:pPr>
        <w:spacing w:after="160"/>
      </w:pPr>
      <w:r>
        <w:rPr>
          <w:b w:val="false"/>
          <w:bCs w:val="false"/>
          <w:sz w:val="22"/>
          <w:szCs w:val="22"/>
        </w:rPr>
        <w:t xml:space="preserve">7.6. Sutartis sudaroma ir pasirašoma dviem egzemplioriais — po vieną kiekvienai Šaliai. Pasirašant elektroniniu parašu, Sutartis yra vienas elektroninis egzempliorius.</w:t>
      </w:r>
    </w:p>
    <w:p>
      <w:pPr>
        <w:spacing w:after="160"/>
      </w:pPr>
      <w:r>
        <w:rPr>
          <w:b w:val="false"/>
          <w:bCs w:val="false"/>
          <w:sz w:val="22"/>
          <w:szCs w:val="22"/>
        </w:rPr>
        <w:t xml:space="preserve">7.7. Sutartis įsigalioja nuo jos pasirašymo momento, įskaitant pasirašymą </w:t>
      </w:r>
      <w:r>
        <w:rPr>
          <w:b/>
          <w:bCs/>
          <w:sz w:val="22"/>
          <w:szCs w:val="22"/>
        </w:rPr>
        <w:t xml:space="preserve">kvalifikuotu elektroniniu parašu</w:t>
      </w:r>
      <w:r>
        <w:rPr>
          <w:b w:val="false"/>
          <w:bCs w:val="false"/>
          <w:sz w:val="22"/>
          <w:szCs w:val="22"/>
        </w:rPr>
        <w:t xml:space="preserve">. Kvalifikuotu elektroniniu parašu pasirašyta Sutartis atitinka CK 6.469 straipsnio 1 dalyje nustatytą rašytinės formos reikalavimą (CK 1.73 straipsnio 2 dalis), tačiau negali pakeisti notarinės formos.</w:t>
      </w:r>
    </w:p>
    <w:p>
      <w:pPr>
        <w:pStyle w:val="Heading1"/>
        <w:spacing w:after="160" w:before="240"/>
      </w:pPr>
      <w:r>
        <w:rPr>
          <w:b/>
          <w:bCs/>
          <w:sz w:val="28"/>
          <w:szCs w:val="28"/>
        </w:rPr>
        <w:t xml:space="preserve">ŠALIŲ PARAŠAI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Dovanotojas</w:t>
            </w:r>
          </w:p>
        </w:tc>
        <w:tc>
          <w:tcPr>
            <w:tcW w:type="pct" w:w="33%"/>
            <w:tcMar>
              <w:top w:type="dxa" w:w="80"/>
              <w:left w:type="dxa" w:w="120"/>
              <w:bottom w:type="dxa" w:w="80"/>
              <w:right w:type="dxa" w:w="120"/>
            </w:tcMar>
          </w:tcPr>
          <w:p>
            <w:pPr>
              <w:spacing w:after="40" w:before="40"/>
            </w:pPr>
            <w:r>
              <w:rPr>
                <w:b w:val="false"/>
                <w:bCs w:val="false"/>
                <w:sz w:val="22"/>
                <w:szCs w:val="22"/>
              </w:rPr>
              <w:t xml:space="preserve">Apdovanotasis</w:t>
            </w:r>
          </w:p>
        </w:tc>
      </w:tr>
      <w:tr>
        <w:tc>
          <w:tcPr>
            <w:tcW w:type="pct" w:w="33%"/>
            <w:tcMar>
              <w:top w:type="dxa" w:w="80"/>
              <w:left w:type="dxa" w:w="120"/>
              <w:bottom w:type="dxa" w:w="80"/>
              <w:right w:type="dxa" w:w="120"/>
            </w:tcMar>
          </w:tcPr>
          <w:p>
            <w:pPr>
              <w:spacing w:after="40" w:before="40"/>
            </w:pPr>
            <w:r>
              <w:rPr>
                <w:b/>
                <w:bCs/>
                <w:sz w:val="22"/>
                <w:szCs w:val="22"/>
              </w:rPr>
              <w:t xml:space="preserve">Vardas, pavardė / pavadinimas</w:t>
            </w:r>
          </w:p>
        </w:tc>
        <w:tc>
          <w:tcPr>
            <w:tcW w:type="pct" w:w="33%"/>
            <w:tcMar>
              <w:top w:type="dxa" w:w="80"/>
              <w:left w:type="dxa" w:w="120"/>
              <w:bottom w:type="dxa" w:w="80"/>
              <w:right w:type="dxa" w:w="120"/>
            </w:tcMar>
          </w:tcPr>
          <w:p>
            <w:pPr>
              <w:spacing w:after="40" w:before="40"/>
            </w:pPr>
            <w:r>
              <w:rPr>
                <w:b w:val="false"/>
                <w:bCs w:val="false"/>
                <w:sz w:val="22"/>
                <w:szCs w:val="22"/>
              </w:rPr>
              <w:t xml:space="preserve">{{donor_name}}</w:t>
            </w:r>
          </w:p>
        </w:tc>
        <w:tc>
          <w:tcPr>
            <w:tcW w:type="pct" w:w="33%"/>
            <w:tcMar>
              <w:top w:type="dxa" w:w="80"/>
              <w:left w:type="dxa" w:w="120"/>
              <w:bottom w:type="dxa" w:w="80"/>
              <w:right w:type="dxa" w:w="120"/>
            </w:tcMar>
          </w:tcPr>
          <w:p>
            <w:pPr>
              <w:spacing w:after="40" w:before="40"/>
            </w:pPr>
            <w:r>
              <w:rPr>
                <w:b w:val="false"/>
                <w:bCs w:val="false"/>
                <w:sz w:val="22"/>
                <w:szCs w:val="22"/>
              </w:rPr>
              <w:t xml:space="preserve">{{donee_name}}</w:t>
            </w:r>
          </w:p>
        </w:tc>
      </w:tr>
      <w:tr>
        <w:tc>
          <w:tcPr>
            <w:tcW w:type="pct" w:w="33%"/>
            <w:tcMar>
              <w:top w:type="dxa" w:w="80"/>
              <w:left w:type="dxa" w:w="120"/>
              <w:bottom w:type="dxa" w:w="80"/>
              <w:right w:type="dxa" w:w="120"/>
            </w:tcMar>
          </w:tcPr>
          <w:p>
            <w:pPr>
              <w:spacing w:after="40" w:before="40"/>
            </w:pPr>
            <w:r>
              <w:rPr>
                <w:b/>
                <w:bCs/>
                <w:sz w:val="22"/>
                <w:szCs w:val="22"/>
              </w:rPr>
              <w:t xml:space="preserve">Asmens kodas / įmonės kodas</w:t>
            </w:r>
          </w:p>
        </w:tc>
        <w:tc>
          <w:tcPr>
            <w:tcW w:type="pct" w:w="33%"/>
            <w:tcMar>
              <w:top w:type="dxa" w:w="80"/>
              <w:left w:type="dxa" w:w="120"/>
              <w:bottom w:type="dxa" w:w="80"/>
              <w:right w:type="dxa" w:w="120"/>
            </w:tcMar>
          </w:tcPr>
          <w:p>
            <w:pPr>
              <w:spacing w:after="40" w:before="40"/>
            </w:pPr>
            <w:r>
              <w:rPr>
                <w:b w:val="false"/>
                <w:bCs w:val="false"/>
                <w:sz w:val="22"/>
                <w:szCs w:val="22"/>
              </w:rPr>
              <w:t xml:space="preserve">{{donor_id_code}}</w:t>
            </w:r>
          </w:p>
        </w:tc>
        <w:tc>
          <w:tcPr>
            <w:tcW w:type="pct" w:w="33%"/>
            <w:tcMar>
              <w:top w:type="dxa" w:w="80"/>
              <w:left w:type="dxa" w:w="120"/>
              <w:bottom w:type="dxa" w:w="80"/>
              <w:right w:type="dxa" w:w="120"/>
            </w:tcMar>
          </w:tcPr>
          <w:p>
            <w:pPr>
              <w:spacing w:after="40" w:before="40"/>
            </w:pPr>
            <w:r>
              <w:rPr>
                <w:b w:val="false"/>
                <w:bCs w:val="false"/>
                <w:sz w:val="22"/>
                <w:szCs w:val="22"/>
              </w:rPr>
              <w:t xml:space="preserve">{{donee_id_code}}</w:t>
            </w:r>
          </w:p>
        </w:tc>
      </w:tr>
      <w:tr>
        <w:tc>
          <w:tcPr>
            <w:tcW w:type="pct" w:w="33%"/>
            <w:tcMar>
              <w:top w:type="dxa" w:w="80"/>
              <w:left w:type="dxa" w:w="120"/>
              <w:bottom w:type="dxa" w:w="80"/>
              <w:right w:type="dxa" w:w="120"/>
            </w:tcMar>
          </w:tcPr>
          <w:p>
            <w:pPr>
              <w:spacing w:after="40" w:before="40"/>
            </w:pPr>
            <w:r>
              <w:rPr>
                <w:b/>
                <w:bCs/>
                <w:sz w:val="22"/>
                <w:szCs w:val="22"/>
              </w:rPr>
              <w:t xml:space="preserve">Parašas</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Data</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p>
      <w:pPr>
        <w:spacing w:after="160"/>
      </w:pPr>
      <w:r>
        <w:rPr>
          <w:b/>
          <w:bCs/>
          <w:sz w:val="22"/>
          <w:szCs w:val="22"/>
        </w:rPr>
        <w:t xml:space="preserve">Sutuoktinio sutikimas (jei taikoma):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 </w:t>
            </w:r>
          </w:p>
        </w:tc>
        <w:tc>
          <w:tcPr>
            <w:tcW w:type="pct" w:w="50%"/>
            <w:tcMar>
              <w:top w:type="dxa" w:w="80"/>
              <w:left w:type="dxa" w:w="120"/>
              <w:bottom w:type="dxa" w:w="80"/>
              <w:right w:type="dxa" w:w="120"/>
            </w:tcMar>
          </w:tcPr>
          <w:p>
            <w:pPr>
              <w:spacing w:after="40" w:before="40"/>
            </w:pPr>
            <w:r>
              <w:rPr>
                <w:b w:val="false"/>
                <w:bCs w:val="false"/>
                <w:sz w:val="22"/>
                <w:szCs w:val="22"/>
              </w:rPr>
              <w:t xml:space="preserve">Dovanotojo sutuoktinis (-ė)</w:t>
            </w:r>
          </w:p>
        </w:tc>
      </w:tr>
      <w:tr>
        <w:tc>
          <w:tcPr>
            <w:tcW w:type="pct" w:w="50%"/>
            <w:tcMar>
              <w:top w:type="dxa" w:w="80"/>
              <w:left w:type="dxa" w:w="120"/>
              <w:bottom w:type="dxa" w:w="80"/>
              <w:right w:type="dxa" w:w="120"/>
            </w:tcMar>
          </w:tcPr>
          <w:p>
            <w:pPr>
              <w:spacing w:after="40" w:before="40"/>
            </w:pPr>
            <w:r>
              <w:rPr>
                <w:b/>
                <w:bCs/>
                <w:sz w:val="22"/>
                <w:szCs w:val="22"/>
              </w:rPr>
              <w:t xml:space="preserve">Vardas, pavardė</w:t>
            </w:r>
          </w:p>
        </w:tc>
        <w:tc>
          <w:tcPr>
            <w:tcW w:type="pct" w:w="50%"/>
            <w:tcMar>
              <w:top w:type="dxa" w:w="80"/>
              <w:left w:type="dxa" w:w="120"/>
              <w:bottom w:type="dxa" w:w="80"/>
              <w:right w:type="dxa" w:w="120"/>
            </w:tcMar>
          </w:tcPr>
          <w:p>
            <w:pPr>
              <w:spacing w:after="40" w:before="40"/>
            </w:pPr>
            <w:r>
              <w:rPr>
                <w:b w:val="false"/>
                <w:bCs w:val="false"/>
                <w:sz w:val="22"/>
                <w:szCs w:val="22"/>
              </w:rPr>
              <w:t xml:space="preserve">{{donor_spouse_name}}</w:t>
            </w:r>
          </w:p>
        </w:tc>
      </w:tr>
      <w:tr>
        <w:tc>
          <w:tcPr>
            <w:tcW w:type="pct" w:w="50%"/>
            <w:tcMar>
              <w:top w:type="dxa" w:w="80"/>
              <w:left w:type="dxa" w:w="120"/>
              <w:bottom w:type="dxa" w:w="80"/>
              <w:right w:type="dxa" w:w="120"/>
            </w:tcMar>
          </w:tcPr>
          <w:p>
            <w:pPr>
              <w:spacing w:after="40" w:before="40"/>
            </w:pPr>
            <w:r>
              <w:rPr>
                <w:b/>
                <w:bCs/>
                <w:sz w:val="22"/>
                <w:szCs w:val="22"/>
              </w:rPr>
              <w:t xml:space="preserve">Asmens kodas</w:t>
            </w:r>
          </w:p>
        </w:tc>
        <w:tc>
          <w:tcPr>
            <w:tcW w:type="pct" w:w="50%"/>
            <w:tcMar>
              <w:top w:type="dxa" w:w="80"/>
              <w:left w:type="dxa" w:w="120"/>
              <w:bottom w:type="dxa" w:w="80"/>
              <w:right w:type="dxa" w:w="120"/>
            </w:tcMar>
          </w:tcPr>
          <w:p>
            <w:pPr>
              <w:spacing w:after="40" w:before="40"/>
            </w:pPr>
            <w:r>
              <w:rPr>
                <w:b w:val="false"/>
                <w:bCs w:val="false"/>
                <w:sz w:val="22"/>
                <w:szCs w:val="22"/>
              </w:rPr>
              <w:t xml:space="preserve">{{donor_spouse_id_code}}</w:t>
            </w:r>
          </w:p>
        </w:tc>
      </w:tr>
      <w:tr>
        <w:tc>
          <w:tcPr>
            <w:tcW w:type="pct" w:w="50%"/>
            <w:tcMar>
              <w:top w:type="dxa" w:w="80"/>
              <w:left w:type="dxa" w:w="120"/>
              <w:bottom w:type="dxa" w:w="80"/>
              <w:right w:type="dxa" w:w="120"/>
            </w:tcMar>
          </w:tcPr>
          <w:p>
            <w:pPr>
              <w:spacing w:after="40" w:before="40"/>
            </w:pPr>
            <w:r>
              <w:rPr>
                <w:b/>
                <w:bCs/>
                <w:sz w:val="22"/>
                <w:szCs w:val="22"/>
              </w:rPr>
              <w:t xml:space="preserve">Parašas</w:t>
            </w:r>
          </w:p>
        </w:tc>
        <w:tc>
          <w:tcPr>
            <w:tcW w:type="pct" w:w="50%"/>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50%"/>
            <w:tcMar>
              <w:top w:type="dxa" w:w="80"/>
              <w:left w:type="dxa" w:w="120"/>
              <w:bottom w:type="dxa" w:w="80"/>
              <w:right w:type="dxa" w:w="120"/>
            </w:tcMar>
          </w:tcPr>
          <w:p>
            <w:pPr>
              <w:spacing w:after="40" w:before="40"/>
            </w:pPr>
            <w:r>
              <w:rPr>
                <w:b/>
                <w:bCs/>
                <w:sz w:val="22"/>
                <w:szCs w:val="22"/>
              </w:rPr>
              <w:t xml:space="preserve">Data</w:t>
            </w:r>
          </w:p>
        </w:tc>
        <w:tc>
          <w:tcPr>
            <w:tcW w:type="pct" w:w="50%"/>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Dovanojimo sutarties šablonas</dc:title>
  <dc:creator>Agrello</dc:creator>
  <cp:lastModifiedBy>Un-named</cp:lastModifiedBy>
  <cp:revision>1</cp:revision>
  <dcterms:created xsi:type="dcterms:W3CDTF">2026-06-12T12:29:47.063Z</dcterms:created>
  <dcterms:modified xsi:type="dcterms:W3CDTF">2026-06-12T12:29:47.063Z</dcterms:modified>
</cp:coreProperties>
</file>

<file path=docProps/custom.xml><?xml version="1.0" encoding="utf-8"?>
<Properties xmlns="http://schemas.openxmlformats.org/officeDocument/2006/custom-properties" xmlns:vt="http://schemas.openxmlformats.org/officeDocument/2006/docPropsVTypes"/>
</file>