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KÄSIRAHA LEPING Nr. {{contract_number}}</w:t>
      </w:r>
    </w:p>
    <w:p>
      <w:pPr>
        <w:spacing w:after="160"/>
      </w:pPr>
      <w:r>
        <w:rPr>
          <w:b w:val="false"/>
          <w:bCs w:val="false"/>
          <w:sz w:val="22"/>
          <w:szCs w:val="22"/>
        </w:rPr>
        <w:t xml:space="preserve">{{contract_location}}, {{contract_date}}</w:t>
      </w:r>
    </w:p>
    <w:p>
      <w:pPr>
        <w:pStyle w:val="Heading1"/>
        <w:spacing w:after="160" w:before="240"/>
      </w:pPr>
      <w:r>
        <w:rPr>
          <w:b/>
          <w:bCs/>
          <w:sz w:val="28"/>
          <w:szCs w:val="28"/>
        </w:rPr>
        <w:t xml:space="preserve">1. OSAPOOLED</w:t>
      </w:r>
    </w:p>
    <w:p>
      <w:pPr>
        <w:spacing w:after="160"/>
      </w:pPr>
      <w:r>
        <w:rPr>
          <w:b/>
          <w:bCs/>
          <w:sz w:val="22"/>
          <w:szCs w:val="22"/>
        </w:rPr>
        <w:t xml:space="preserve">Käsiraha andja: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Nimi</w:t>
            </w:r>
          </w:p>
        </w:tc>
        <w:tc>
          <w:tcPr>
            <w:tcW w:type="pct" w:w="50%"/>
            <w:tcMar>
              <w:top w:type="dxa" w:w="80"/>
              <w:left w:type="dxa" w:w="120"/>
              <w:bottom w:type="dxa" w:w="80"/>
              <w:right w:type="dxa" w:w="120"/>
            </w:tcMar>
          </w:tcPr>
          <w:p>
            <w:pPr>
              <w:spacing w:after="40" w:before="40"/>
            </w:pPr>
            <w:r>
              <w:rPr>
                <w:b w:val="false"/>
                <w:bCs w:val="false"/>
                <w:sz w:val="22"/>
                <w:szCs w:val="22"/>
              </w:rPr>
              <w:t xml:space="preserve">{{party_a_name}}</w:t>
            </w:r>
          </w:p>
        </w:tc>
      </w:tr>
      <w:tr>
        <w:tc>
          <w:tcPr>
            <w:tcW w:type="pct" w:w="50%"/>
            <w:tcMar>
              <w:top w:type="dxa" w:w="80"/>
              <w:left w:type="dxa" w:w="120"/>
              <w:bottom w:type="dxa" w:w="80"/>
              <w:right w:type="dxa" w:w="120"/>
            </w:tcMar>
          </w:tcPr>
          <w:p>
            <w:pPr>
              <w:spacing w:after="40" w:before="40"/>
            </w:pPr>
            <w:r>
              <w:rPr>
                <w:b/>
                <w:bCs/>
                <w:sz w:val="22"/>
                <w:szCs w:val="22"/>
              </w:rPr>
              <w:t xml:space="preserve">Isiku-/registrikood</w:t>
            </w:r>
          </w:p>
        </w:tc>
        <w:tc>
          <w:tcPr>
            <w:tcW w:type="pct" w:w="50%"/>
            <w:tcMar>
              <w:top w:type="dxa" w:w="80"/>
              <w:left w:type="dxa" w:w="120"/>
              <w:bottom w:type="dxa" w:w="80"/>
              <w:right w:type="dxa" w:w="120"/>
            </w:tcMar>
          </w:tcPr>
          <w:p>
            <w:pPr>
              <w:spacing w:after="40" w:before="40"/>
            </w:pPr>
            <w:r>
              <w:rPr>
                <w:b w:val="false"/>
                <w:bCs w:val="false"/>
                <w:sz w:val="22"/>
                <w:szCs w:val="22"/>
              </w:rPr>
              <w:t xml:space="preserve">{{party_a_code}}</w:t>
            </w:r>
          </w:p>
        </w:tc>
      </w:tr>
      <w:tr>
        <w:tc>
          <w:tcPr>
            <w:tcW w:type="pct" w:w="50%"/>
            <w:tcMar>
              <w:top w:type="dxa" w:w="80"/>
              <w:left w:type="dxa" w:w="120"/>
              <w:bottom w:type="dxa" w:w="80"/>
              <w:right w:type="dxa" w:w="120"/>
            </w:tcMar>
          </w:tcPr>
          <w:p>
            <w:pPr>
              <w:spacing w:after="40" w:before="40"/>
            </w:pPr>
            <w:r>
              <w:rPr>
                <w:b/>
                <w:bCs/>
                <w:sz w:val="22"/>
                <w:szCs w:val="22"/>
              </w:rPr>
              <w:t xml:space="preserve">Aadress</w:t>
            </w:r>
          </w:p>
        </w:tc>
        <w:tc>
          <w:tcPr>
            <w:tcW w:type="pct" w:w="50%"/>
            <w:tcMar>
              <w:top w:type="dxa" w:w="80"/>
              <w:left w:type="dxa" w:w="120"/>
              <w:bottom w:type="dxa" w:w="80"/>
              <w:right w:type="dxa" w:w="120"/>
            </w:tcMar>
          </w:tcPr>
          <w:p>
            <w:pPr>
              <w:spacing w:after="40" w:before="40"/>
            </w:pPr>
            <w:r>
              <w:rPr>
                <w:b w:val="false"/>
                <w:bCs w:val="false"/>
                <w:sz w:val="22"/>
                <w:szCs w:val="22"/>
              </w:rPr>
              <w:t xml:space="preserve">{{party_a_address}}</w:t>
            </w:r>
          </w:p>
        </w:tc>
      </w:tr>
      <w:tr>
        <w:tc>
          <w:tcPr>
            <w:tcW w:type="pct" w:w="50%"/>
            <w:tcMar>
              <w:top w:type="dxa" w:w="80"/>
              <w:left w:type="dxa" w:w="120"/>
              <w:bottom w:type="dxa" w:w="80"/>
              <w:right w:type="dxa" w:w="120"/>
            </w:tcMar>
          </w:tcPr>
          <w:p>
            <w:pPr>
              <w:spacing w:after="40" w:before="40"/>
            </w:pPr>
            <w:r>
              <w:rPr>
                <w:b/>
                <w:bCs/>
                <w:sz w:val="22"/>
                <w:szCs w:val="22"/>
              </w:rPr>
              <w:t xml:space="preserve">Esindaja</w:t>
            </w:r>
          </w:p>
        </w:tc>
        <w:tc>
          <w:tcPr>
            <w:tcW w:type="pct" w:w="50%"/>
            <w:tcMar>
              <w:top w:type="dxa" w:w="80"/>
              <w:left w:type="dxa" w:w="120"/>
              <w:bottom w:type="dxa" w:w="80"/>
              <w:right w:type="dxa" w:w="120"/>
            </w:tcMar>
          </w:tcPr>
          <w:p>
            <w:pPr>
              <w:spacing w:after="40" w:before="40"/>
            </w:pPr>
            <w:r>
              <w:rPr>
                <w:b w:val="false"/>
                <w:bCs w:val="false"/>
                <w:sz w:val="22"/>
                <w:szCs w:val="22"/>
              </w:rPr>
              <w:t xml:space="preserve">{{party_a_representative}}</w:t>
            </w:r>
          </w:p>
        </w:tc>
      </w:tr>
      <w:tr>
        <w:tc>
          <w:tcPr>
            <w:tcW w:type="pct" w:w="50%"/>
            <w:tcMar>
              <w:top w:type="dxa" w:w="80"/>
              <w:left w:type="dxa" w:w="120"/>
              <w:bottom w:type="dxa" w:w="80"/>
              <w:right w:type="dxa" w:w="120"/>
            </w:tcMar>
          </w:tcPr>
          <w:p>
            <w:pPr>
              <w:spacing w:after="40" w:before="40"/>
            </w:pPr>
            <w:r>
              <w:rPr>
                <w:b/>
                <w:bCs/>
                <w:sz w:val="22"/>
                <w:szCs w:val="22"/>
              </w:rPr>
              <w:t xml:space="preserve">E-post</w:t>
            </w:r>
          </w:p>
        </w:tc>
        <w:tc>
          <w:tcPr>
            <w:tcW w:type="pct" w:w="50%"/>
            <w:tcMar>
              <w:top w:type="dxa" w:w="80"/>
              <w:left w:type="dxa" w:w="120"/>
              <w:bottom w:type="dxa" w:w="80"/>
              <w:right w:type="dxa" w:w="120"/>
            </w:tcMar>
          </w:tcPr>
          <w:p>
            <w:pPr>
              <w:spacing w:after="40" w:before="40"/>
            </w:pPr>
            <w:r>
              <w:rPr>
                <w:b w:val="false"/>
                <w:bCs w:val="false"/>
                <w:sz w:val="22"/>
                <w:szCs w:val="22"/>
              </w:rPr>
              <w:t xml:space="preserve">{{party_a_email}}</w:t>
            </w:r>
          </w:p>
        </w:tc>
      </w:tr>
      <w:tr>
        <w:tc>
          <w:tcPr>
            <w:tcW w:type="pct" w:w="50%"/>
            <w:tcMar>
              <w:top w:type="dxa" w:w="80"/>
              <w:left w:type="dxa" w:w="120"/>
              <w:bottom w:type="dxa" w:w="80"/>
              <w:right w:type="dxa" w:w="120"/>
            </w:tcMar>
          </w:tcPr>
          <w:p>
            <w:pPr>
              <w:spacing w:after="40" w:before="40"/>
            </w:pPr>
            <w:r>
              <w:rPr>
                <w:b/>
                <w:bCs/>
                <w:sz w:val="22"/>
                <w:szCs w:val="22"/>
              </w:rPr>
              <w:t xml:space="preserve">Telefon</w:t>
            </w:r>
          </w:p>
        </w:tc>
        <w:tc>
          <w:tcPr>
            <w:tcW w:type="pct" w:w="50%"/>
            <w:tcMar>
              <w:top w:type="dxa" w:w="80"/>
              <w:left w:type="dxa" w:w="120"/>
              <w:bottom w:type="dxa" w:w="80"/>
              <w:right w:type="dxa" w:w="120"/>
            </w:tcMar>
          </w:tcPr>
          <w:p>
            <w:pPr>
              <w:spacing w:after="40" w:before="40"/>
            </w:pPr>
            <w:r>
              <w:rPr>
                <w:b w:val="false"/>
                <w:bCs w:val="false"/>
                <w:sz w:val="22"/>
                <w:szCs w:val="22"/>
              </w:rPr>
              <w:t xml:space="preserve">{{party_a_phone}}</w:t>
            </w:r>
          </w:p>
        </w:tc>
      </w:tr>
    </w:tbl>
    <w:p>
      <w:pPr>
        <w:spacing w:after="120"/>
      </w:pPr>
      <w:r>
        <w:rPr>
          <w:sz w:val="22"/>
          <w:szCs w:val="22"/>
        </w:rPr>
        <w:t xml:space="preserve"/>
      </w:r>
    </w:p>
    <w:p>
      <w:pPr>
        <w:spacing w:after="160"/>
      </w:pPr>
      <w:r>
        <w:rPr>
          <w:b/>
          <w:bCs/>
          <w:sz w:val="22"/>
          <w:szCs w:val="22"/>
        </w:rPr>
        <w:t xml:space="preserve">Käsiraha saaja:</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Nimi</w:t>
            </w:r>
          </w:p>
        </w:tc>
        <w:tc>
          <w:tcPr>
            <w:tcW w:type="pct" w:w="50%"/>
            <w:tcMar>
              <w:top w:type="dxa" w:w="80"/>
              <w:left w:type="dxa" w:w="120"/>
              <w:bottom w:type="dxa" w:w="80"/>
              <w:right w:type="dxa" w:w="120"/>
            </w:tcMar>
          </w:tcPr>
          <w:p>
            <w:pPr>
              <w:spacing w:after="40" w:before="40"/>
            </w:pPr>
            <w:r>
              <w:rPr>
                <w:b w:val="false"/>
                <w:bCs w:val="false"/>
                <w:sz w:val="22"/>
                <w:szCs w:val="22"/>
              </w:rPr>
              <w:t xml:space="preserve">{{party_b_name}}</w:t>
            </w:r>
          </w:p>
        </w:tc>
      </w:tr>
      <w:tr>
        <w:tc>
          <w:tcPr>
            <w:tcW w:type="pct" w:w="50%"/>
            <w:tcMar>
              <w:top w:type="dxa" w:w="80"/>
              <w:left w:type="dxa" w:w="120"/>
              <w:bottom w:type="dxa" w:w="80"/>
              <w:right w:type="dxa" w:w="120"/>
            </w:tcMar>
          </w:tcPr>
          <w:p>
            <w:pPr>
              <w:spacing w:after="40" w:before="40"/>
            </w:pPr>
            <w:r>
              <w:rPr>
                <w:b/>
                <w:bCs/>
                <w:sz w:val="22"/>
                <w:szCs w:val="22"/>
              </w:rPr>
              <w:t xml:space="preserve">Isiku-/registrikood</w:t>
            </w:r>
          </w:p>
        </w:tc>
        <w:tc>
          <w:tcPr>
            <w:tcW w:type="pct" w:w="50%"/>
            <w:tcMar>
              <w:top w:type="dxa" w:w="80"/>
              <w:left w:type="dxa" w:w="120"/>
              <w:bottom w:type="dxa" w:w="80"/>
              <w:right w:type="dxa" w:w="120"/>
            </w:tcMar>
          </w:tcPr>
          <w:p>
            <w:pPr>
              <w:spacing w:after="40" w:before="40"/>
            </w:pPr>
            <w:r>
              <w:rPr>
                <w:b w:val="false"/>
                <w:bCs w:val="false"/>
                <w:sz w:val="22"/>
                <w:szCs w:val="22"/>
              </w:rPr>
              <w:t xml:space="preserve">{{party_b_code}}</w:t>
            </w:r>
          </w:p>
        </w:tc>
      </w:tr>
      <w:tr>
        <w:tc>
          <w:tcPr>
            <w:tcW w:type="pct" w:w="50%"/>
            <w:tcMar>
              <w:top w:type="dxa" w:w="80"/>
              <w:left w:type="dxa" w:w="120"/>
              <w:bottom w:type="dxa" w:w="80"/>
              <w:right w:type="dxa" w:w="120"/>
            </w:tcMar>
          </w:tcPr>
          <w:p>
            <w:pPr>
              <w:spacing w:after="40" w:before="40"/>
            </w:pPr>
            <w:r>
              <w:rPr>
                <w:b/>
                <w:bCs/>
                <w:sz w:val="22"/>
                <w:szCs w:val="22"/>
              </w:rPr>
              <w:t xml:space="preserve">Aadress</w:t>
            </w:r>
          </w:p>
        </w:tc>
        <w:tc>
          <w:tcPr>
            <w:tcW w:type="pct" w:w="50%"/>
            <w:tcMar>
              <w:top w:type="dxa" w:w="80"/>
              <w:left w:type="dxa" w:w="120"/>
              <w:bottom w:type="dxa" w:w="80"/>
              <w:right w:type="dxa" w:w="120"/>
            </w:tcMar>
          </w:tcPr>
          <w:p>
            <w:pPr>
              <w:spacing w:after="40" w:before="40"/>
            </w:pPr>
            <w:r>
              <w:rPr>
                <w:b w:val="false"/>
                <w:bCs w:val="false"/>
                <w:sz w:val="22"/>
                <w:szCs w:val="22"/>
              </w:rPr>
              <w:t xml:space="preserve">{{party_b_address}}</w:t>
            </w:r>
          </w:p>
        </w:tc>
      </w:tr>
      <w:tr>
        <w:tc>
          <w:tcPr>
            <w:tcW w:type="pct" w:w="50%"/>
            <w:tcMar>
              <w:top w:type="dxa" w:w="80"/>
              <w:left w:type="dxa" w:w="120"/>
              <w:bottom w:type="dxa" w:w="80"/>
              <w:right w:type="dxa" w:w="120"/>
            </w:tcMar>
          </w:tcPr>
          <w:p>
            <w:pPr>
              <w:spacing w:after="40" w:before="40"/>
            </w:pPr>
            <w:r>
              <w:rPr>
                <w:b/>
                <w:bCs/>
                <w:sz w:val="22"/>
                <w:szCs w:val="22"/>
              </w:rPr>
              <w:t xml:space="preserve">Esindaja</w:t>
            </w:r>
          </w:p>
        </w:tc>
        <w:tc>
          <w:tcPr>
            <w:tcW w:type="pct" w:w="50%"/>
            <w:tcMar>
              <w:top w:type="dxa" w:w="80"/>
              <w:left w:type="dxa" w:w="120"/>
              <w:bottom w:type="dxa" w:w="80"/>
              <w:right w:type="dxa" w:w="120"/>
            </w:tcMar>
          </w:tcPr>
          <w:p>
            <w:pPr>
              <w:spacing w:after="40" w:before="40"/>
            </w:pPr>
            <w:r>
              <w:rPr>
                <w:b w:val="false"/>
                <w:bCs w:val="false"/>
                <w:sz w:val="22"/>
                <w:szCs w:val="22"/>
              </w:rPr>
              <w:t xml:space="preserve">{{party_b_representative}}</w:t>
            </w:r>
          </w:p>
        </w:tc>
      </w:tr>
      <w:tr>
        <w:tc>
          <w:tcPr>
            <w:tcW w:type="pct" w:w="50%"/>
            <w:tcMar>
              <w:top w:type="dxa" w:w="80"/>
              <w:left w:type="dxa" w:w="120"/>
              <w:bottom w:type="dxa" w:w="80"/>
              <w:right w:type="dxa" w:w="120"/>
            </w:tcMar>
          </w:tcPr>
          <w:p>
            <w:pPr>
              <w:spacing w:after="40" w:before="40"/>
            </w:pPr>
            <w:r>
              <w:rPr>
                <w:b/>
                <w:bCs/>
                <w:sz w:val="22"/>
                <w:szCs w:val="22"/>
              </w:rPr>
              <w:t xml:space="preserve">E-post</w:t>
            </w:r>
          </w:p>
        </w:tc>
        <w:tc>
          <w:tcPr>
            <w:tcW w:type="pct" w:w="50%"/>
            <w:tcMar>
              <w:top w:type="dxa" w:w="80"/>
              <w:left w:type="dxa" w:w="120"/>
              <w:bottom w:type="dxa" w:w="80"/>
              <w:right w:type="dxa" w:w="120"/>
            </w:tcMar>
          </w:tcPr>
          <w:p>
            <w:pPr>
              <w:spacing w:after="40" w:before="40"/>
            </w:pPr>
            <w:r>
              <w:rPr>
                <w:b w:val="false"/>
                <w:bCs w:val="false"/>
                <w:sz w:val="22"/>
                <w:szCs w:val="22"/>
              </w:rPr>
              <w:t xml:space="preserve">{{party_b_email}}</w:t>
            </w:r>
          </w:p>
        </w:tc>
      </w:tr>
      <w:tr>
        <w:tc>
          <w:tcPr>
            <w:tcW w:type="pct" w:w="50%"/>
            <w:tcMar>
              <w:top w:type="dxa" w:w="80"/>
              <w:left w:type="dxa" w:w="120"/>
              <w:bottom w:type="dxa" w:w="80"/>
              <w:right w:type="dxa" w:w="120"/>
            </w:tcMar>
          </w:tcPr>
          <w:p>
            <w:pPr>
              <w:spacing w:after="40" w:before="40"/>
            </w:pPr>
            <w:r>
              <w:rPr>
                <w:b/>
                <w:bCs/>
                <w:sz w:val="22"/>
                <w:szCs w:val="22"/>
              </w:rPr>
              <w:t xml:space="preserve">Telefon</w:t>
            </w:r>
          </w:p>
        </w:tc>
        <w:tc>
          <w:tcPr>
            <w:tcW w:type="pct" w:w="50%"/>
            <w:tcMar>
              <w:top w:type="dxa" w:w="80"/>
              <w:left w:type="dxa" w:w="120"/>
              <w:bottom w:type="dxa" w:w="80"/>
              <w:right w:type="dxa" w:w="120"/>
            </w:tcMar>
          </w:tcPr>
          <w:p>
            <w:pPr>
              <w:spacing w:after="40" w:before="40"/>
            </w:pPr>
            <w:r>
              <w:rPr>
                <w:b w:val="false"/>
                <w:bCs w:val="false"/>
                <w:sz w:val="22"/>
                <w:szCs w:val="22"/>
              </w:rPr>
              <w:t xml:space="preserve">{{party_b_phone}}</w:t>
            </w:r>
          </w:p>
        </w:tc>
      </w:tr>
    </w:tbl>
    <w:p>
      <w:pPr>
        <w:spacing w:after="120"/>
      </w:pPr>
      <w:r>
        <w:rPr>
          <w:sz w:val="22"/>
          <w:szCs w:val="22"/>
        </w:rPr>
        <w:t xml:space="preserve"/>
      </w:r>
    </w:p>
    <w:p>
      <w:pPr>
        <w:spacing w:after="160"/>
      </w:pPr>
      <w:r>
        <w:rPr>
          <w:b w:val="false"/>
          <w:bCs w:val="false"/>
          <w:sz w:val="22"/>
          <w:szCs w:val="22"/>
        </w:rPr>
        <w:t xml:space="preserve">Käsiraha andja ja Käsiraha saaja (edaspidi koos „Pooled" ja eraldi „Pool") sõlmivad käesoleva käsiraha lepingu (edaspidi „Leping") alljärgnevatel tingimustel.</w:t>
      </w:r>
    </w:p>
    <w:p>
      <w:pPr>
        <w:pStyle w:val="Heading1"/>
        <w:spacing w:after="160" w:before="240"/>
      </w:pPr>
      <w:r>
        <w:rPr>
          <w:b/>
          <w:bCs/>
          <w:sz w:val="28"/>
          <w:szCs w:val="28"/>
        </w:rPr>
        <w:t xml:space="preserve">2. LEPINGU ESE</w:t>
      </w:r>
    </w:p>
    <w:p>
      <w:pPr>
        <w:spacing w:after="160"/>
      </w:pPr>
      <w:r>
        <w:rPr>
          <w:b w:val="false"/>
          <w:bCs w:val="false"/>
          <w:sz w:val="22"/>
          <w:szCs w:val="22"/>
        </w:rPr>
        <w:t xml:space="preserve">2.1. Käesoleva Lepingu alusel annab Käsiraha andja Käsiraha saajale rahasumma (edaspidi „Käsiraha") punktis 4 nimetatud põhilepingu (edaspidi „Põhileping") sõlmimise tõendamiseks ja selle täitmise tagamiseks Võlaõigusseaduse (edaspidi „VÕS") § 156 lõike 1 tähenduses.</w:t>
      </w:r>
    </w:p>
    <w:p>
      <w:pPr>
        <w:spacing w:after="160"/>
      </w:pPr>
      <w:r>
        <w:rPr>
          <w:b w:val="false"/>
          <w:bCs w:val="false"/>
          <w:sz w:val="22"/>
          <w:szCs w:val="22"/>
        </w:rPr>
        <w:t xml:space="preserve">2.2. Käsiraha suurus on </w:t>
      </w:r>
      <w:r>
        <w:rPr>
          <w:b/>
          <w:bCs/>
          <w:sz w:val="22"/>
          <w:szCs w:val="22"/>
        </w:rPr>
        <w:t xml:space="preserve">{{deposit_amount}} {{deposit_currency}}</w:t>
      </w:r>
      <w:r>
        <w:rPr>
          <w:b w:val="false"/>
          <w:bCs w:val="false"/>
          <w:sz w:val="22"/>
          <w:szCs w:val="22"/>
        </w:rPr>
        <w:t xml:space="preserve">.</w:t>
      </w:r>
    </w:p>
    <w:p>
      <w:pPr>
        <w:spacing w:after="160"/>
      </w:pPr>
      <w:r>
        <w:rPr>
          <w:b w:val="false"/>
          <w:bCs w:val="false"/>
          <w:sz w:val="22"/>
          <w:szCs w:val="22"/>
        </w:rPr>
        <w:t xml:space="preserve">2.3. Käsiraha andja tasub Käsiraha Käsiraha saajale </w:t>
      </w:r>
      <w:r>
        <w:rPr>
          <w:b/>
          <w:bCs/>
          <w:sz w:val="22"/>
          <w:szCs w:val="22"/>
        </w:rPr>
        <w:t xml:space="preserve">{{deposit_payment_method}}</w:t>
      </w:r>
      <w:r>
        <w:rPr>
          <w:b w:val="false"/>
          <w:bCs w:val="false"/>
          <w:sz w:val="22"/>
          <w:szCs w:val="22"/>
        </w:rPr>
        <w:t xml:space="preserve"> hiljemalt </w:t>
      </w:r>
      <w:r>
        <w:rPr>
          <w:b/>
          <w:bCs/>
          <w:sz w:val="22"/>
          <w:szCs w:val="22"/>
        </w:rPr>
        <w:t xml:space="preserve">{{deposit_payment_deadline}}</w:t>
      </w:r>
      <w:r>
        <w:rPr>
          <w:b w:val="false"/>
          <w:bCs w:val="false"/>
          <w:sz w:val="22"/>
          <w:szCs w:val="22"/>
        </w:rPr>
        <w:t xml:space="preserve">.</w:t>
      </w:r>
    </w:p>
    <w:p>
      <w:pPr>
        <w:spacing w:after="160"/>
      </w:pPr>
      <w:r>
        <w:rPr>
          <w:b w:val="false"/>
          <w:bCs w:val="false"/>
          <w:sz w:val="22"/>
          <w:szCs w:val="22"/>
        </w:rPr>
        <w:t xml:space="preserve">2.4. Ülekande puhul kantakse Käsiraha Käsiraha saaja pangakontole </w:t>
      </w:r>
      <w:r>
        <w:rPr>
          <w:b/>
          <w:bCs/>
          <w:sz w:val="22"/>
          <w:szCs w:val="22"/>
        </w:rPr>
        <w:t xml:space="preserve">{{deposit_account}}</w:t>
      </w:r>
      <w:r>
        <w:rPr>
          <w:b w:val="false"/>
          <w:bCs w:val="false"/>
          <w:sz w:val="22"/>
          <w:szCs w:val="22"/>
        </w:rPr>
        <w:t xml:space="preserve">. Maksekorralduse selgituses märgib Käsiraha andja viite käesolevale Lepingule (Lepingu number ja kuupäev).</w:t>
      </w:r>
    </w:p>
    <w:p>
      <w:pPr>
        <w:spacing w:after="160"/>
      </w:pPr>
      <w:r>
        <w:rPr>
          <w:b w:val="false"/>
          <w:bCs w:val="false"/>
          <w:sz w:val="22"/>
          <w:szCs w:val="22"/>
        </w:rPr>
        <w:t xml:space="preserve">2.5. Käsiraha tasumise kohustus loetakse täidetuks Käsiraha laekumisel Käsiraha saaja pangakontole (ülekande puhul) või Käsiraha saaja poolt allkirjastatud kviitungi väljastamisel (sularaha puhul).</w:t>
      </w:r>
    </w:p>
    <w:p>
      <w:pPr>
        <w:pStyle w:val="Heading1"/>
        <w:spacing w:after="160" w:before="240"/>
      </w:pPr>
      <w:r>
        <w:rPr>
          <w:b/>
          <w:bCs/>
          <w:sz w:val="28"/>
          <w:szCs w:val="28"/>
        </w:rPr>
        <w:t xml:space="preserve">3. KÄSIRAHA ÕIGUSLIK OLEMUS</w:t>
      </w:r>
    </w:p>
    <w:p>
      <w:pPr>
        <w:spacing w:after="160"/>
      </w:pPr>
      <w:r>
        <w:rPr>
          <w:b w:val="false"/>
          <w:bCs w:val="false"/>
          <w:sz w:val="22"/>
          <w:szCs w:val="22"/>
        </w:rPr>
        <w:t xml:space="preserve">3.1. Pooled kinnitavad, et käesoleva Lepingu alusel makstav summa on </w:t>
      </w:r>
      <w:r>
        <w:rPr>
          <w:b/>
          <w:bCs/>
          <w:sz w:val="22"/>
          <w:szCs w:val="22"/>
        </w:rPr>
        <w:t xml:space="preserve">käsiraha VÕS § 156 tähenduses</w:t>
      </w:r>
      <w:r>
        <w:rPr>
          <w:b w:val="false"/>
          <w:bCs w:val="false"/>
          <w:sz w:val="22"/>
          <w:szCs w:val="22"/>
        </w:rPr>
        <w:t xml:space="preserve"> ning sellele kohaldatakse VÕS 8. peatüki 2. jao sätteid.</w:t>
      </w:r>
    </w:p>
    <w:p>
      <w:pPr>
        <w:spacing w:after="160"/>
      </w:pPr>
      <w:r>
        <w:rPr>
          <w:b w:val="false"/>
          <w:bCs w:val="false"/>
          <w:sz w:val="22"/>
          <w:szCs w:val="22"/>
        </w:rPr>
        <w:t xml:space="preserve">3.2. Käsiraha ei ole </w:t>
      </w:r>
      <w:r>
        <w:rPr>
          <w:b/>
          <w:bCs/>
          <w:sz w:val="22"/>
          <w:szCs w:val="22"/>
        </w:rPr>
        <w:t xml:space="preserve">ettemaks</w:t>
      </w:r>
      <w:r>
        <w:rPr>
          <w:b w:val="false"/>
          <w:bCs w:val="false"/>
          <w:sz w:val="22"/>
          <w:szCs w:val="22"/>
        </w:rPr>
        <w:t xml:space="preserve"> Põhilepingu järgse hinna katteks enne Põhilepingu sõlmimist. Käsiraha funktsioon on tõendada Poolte vahelist kokkulepet Põhilepingu sõlmimiseks ning tagada selle täitmine.</w:t>
      </w:r>
    </w:p>
    <w:p>
      <w:pPr>
        <w:spacing w:after="160"/>
      </w:pPr>
      <w:r>
        <w:rPr>
          <w:b w:val="false"/>
          <w:bCs w:val="false"/>
          <w:sz w:val="22"/>
          <w:szCs w:val="22"/>
        </w:rPr>
        <w:t xml:space="preserve">3.3. Käsiraha ei ole </w:t>
      </w:r>
      <w:r>
        <w:rPr>
          <w:b/>
          <w:bCs/>
          <w:sz w:val="22"/>
          <w:szCs w:val="22"/>
        </w:rPr>
        <w:t xml:space="preserve">tagatisraha</w:t>
      </w:r>
      <w:r>
        <w:rPr>
          <w:b w:val="false"/>
          <w:bCs w:val="false"/>
          <w:sz w:val="22"/>
          <w:szCs w:val="22"/>
        </w:rPr>
        <w:t xml:space="preserve"> VÕS § 308 tähenduses ega täida üürilepingu või muu kestva lepingu täitmise tagamise funktsiooni. Käsiraha tagab üksnes Põhilepingu sõlmimise.</w:t>
      </w:r>
    </w:p>
    <w:p>
      <w:pPr>
        <w:spacing w:after="160"/>
      </w:pPr>
      <w:r>
        <w:rPr>
          <w:b w:val="false"/>
          <w:bCs w:val="false"/>
          <w:sz w:val="22"/>
          <w:szCs w:val="22"/>
        </w:rPr>
        <w:t xml:space="preserve">3.4. Käsiraha täitmise tagajärjed on määratletud käesoleva Lepingu punktis 5, lähtudes VÕS §-st 157.</w:t>
      </w:r>
    </w:p>
    <w:p>
      <w:pPr>
        <w:pStyle w:val="Heading1"/>
        <w:spacing w:after="160" w:before="240"/>
      </w:pPr>
      <w:r>
        <w:rPr>
          <w:b/>
          <w:bCs/>
          <w:sz w:val="28"/>
          <w:szCs w:val="28"/>
        </w:rPr>
        <w:t xml:space="preserve">4. PÕHILEPING</w:t>
      </w:r>
    </w:p>
    <w:p>
      <w:pPr>
        <w:spacing w:after="160"/>
      </w:pPr>
      <w:r>
        <w:rPr>
          <w:b w:val="false"/>
          <w:bCs w:val="false"/>
          <w:sz w:val="22"/>
          <w:szCs w:val="22"/>
        </w:rPr>
        <w:t xml:space="preserve">4.1. Pooled kohustuvad sõlmima Põhilepingu järgmistel tingimustel:</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bCs/>
                <w:sz w:val="22"/>
                <w:szCs w:val="22"/>
              </w:rPr>
              <w:t xml:space="preserve">Põhilepingu liik</w:t>
            </w:r>
          </w:p>
        </w:tc>
        <w:tc>
          <w:tcPr>
            <w:tcW w:type="pct" w:w="50%"/>
            <w:tcMar>
              <w:top w:type="dxa" w:w="80"/>
              <w:left w:type="dxa" w:w="120"/>
              <w:bottom w:type="dxa" w:w="80"/>
              <w:right w:type="dxa" w:w="120"/>
            </w:tcMar>
          </w:tcPr>
          <w:p>
            <w:pPr>
              <w:spacing w:after="40" w:before="40"/>
            </w:pPr>
            <w:r>
              <w:rPr>
                <w:b w:val="false"/>
                <w:bCs w:val="false"/>
                <w:sz w:val="22"/>
                <w:szCs w:val="22"/>
              </w:rPr>
              <w:t xml:space="preserve">{{main_contract_type}}</w:t>
            </w:r>
          </w:p>
        </w:tc>
      </w:tr>
      <w:tr>
        <w:tc>
          <w:tcPr>
            <w:tcW w:type="pct" w:w="50%"/>
            <w:tcMar>
              <w:top w:type="dxa" w:w="80"/>
              <w:left w:type="dxa" w:w="120"/>
              <w:bottom w:type="dxa" w:w="80"/>
              <w:right w:type="dxa" w:w="120"/>
            </w:tcMar>
          </w:tcPr>
          <w:p>
            <w:pPr>
              <w:spacing w:after="40" w:before="40"/>
            </w:pPr>
            <w:r>
              <w:rPr>
                <w:b/>
                <w:bCs/>
                <w:sz w:val="22"/>
                <w:szCs w:val="22"/>
              </w:rPr>
              <w:t xml:space="preserve">Põhilepingu ese</w:t>
            </w:r>
          </w:p>
        </w:tc>
        <w:tc>
          <w:tcPr>
            <w:tcW w:type="pct" w:w="50%"/>
            <w:tcMar>
              <w:top w:type="dxa" w:w="80"/>
              <w:left w:type="dxa" w:w="120"/>
              <w:bottom w:type="dxa" w:w="80"/>
              <w:right w:type="dxa" w:w="120"/>
            </w:tcMar>
          </w:tcPr>
          <w:p>
            <w:pPr>
              <w:spacing w:after="40" w:before="40"/>
            </w:pPr>
            <w:r>
              <w:rPr>
                <w:b w:val="false"/>
                <w:bCs w:val="false"/>
                <w:sz w:val="22"/>
                <w:szCs w:val="22"/>
              </w:rPr>
              <w:t xml:space="preserve">{{main_contract_subject}}</w:t>
            </w:r>
          </w:p>
        </w:tc>
      </w:tr>
      <w:tr>
        <w:tc>
          <w:tcPr>
            <w:tcW w:type="pct" w:w="50%"/>
            <w:tcMar>
              <w:top w:type="dxa" w:w="80"/>
              <w:left w:type="dxa" w:w="120"/>
              <w:bottom w:type="dxa" w:w="80"/>
              <w:right w:type="dxa" w:w="120"/>
            </w:tcMar>
          </w:tcPr>
          <w:p>
            <w:pPr>
              <w:spacing w:after="40" w:before="40"/>
            </w:pPr>
            <w:r>
              <w:rPr>
                <w:b/>
                <w:bCs/>
                <w:sz w:val="22"/>
                <w:szCs w:val="22"/>
              </w:rPr>
              <w:t xml:space="preserve">Põhilepingu koguhind</w:t>
            </w:r>
          </w:p>
        </w:tc>
        <w:tc>
          <w:tcPr>
            <w:tcW w:type="pct" w:w="50%"/>
            <w:tcMar>
              <w:top w:type="dxa" w:w="80"/>
              <w:left w:type="dxa" w:w="120"/>
              <w:bottom w:type="dxa" w:w="80"/>
              <w:right w:type="dxa" w:w="120"/>
            </w:tcMar>
          </w:tcPr>
          <w:p>
            <w:pPr>
              <w:spacing w:after="40" w:before="40"/>
            </w:pPr>
            <w:r>
              <w:rPr>
                <w:b w:val="false"/>
                <w:bCs w:val="false"/>
                <w:sz w:val="22"/>
                <w:szCs w:val="22"/>
              </w:rPr>
              <w:t xml:space="preserve">{{main_contract_total_price}}</w:t>
            </w:r>
          </w:p>
        </w:tc>
      </w:tr>
      <w:tr>
        <w:tc>
          <w:tcPr>
            <w:tcW w:type="pct" w:w="50%"/>
            <w:tcMar>
              <w:top w:type="dxa" w:w="80"/>
              <w:left w:type="dxa" w:w="120"/>
              <w:bottom w:type="dxa" w:w="80"/>
              <w:right w:type="dxa" w:w="120"/>
            </w:tcMar>
          </w:tcPr>
          <w:p>
            <w:pPr>
              <w:spacing w:after="40" w:before="40"/>
            </w:pPr>
            <w:r>
              <w:rPr>
                <w:b/>
                <w:bCs/>
                <w:sz w:val="22"/>
                <w:szCs w:val="22"/>
              </w:rPr>
              <w:t xml:space="preserve">Põhilepingu sõlmimise tähtaeg</w:t>
            </w:r>
          </w:p>
        </w:tc>
        <w:tc>
          <w:tcPr>
            <w:tcW w:type="pct" w:w="50%"/>
            <w:tcMar>
              <w:top w:type="dxa" w:w="80"/>
              <w:left w:type="dxa" w:w="120"/>
              <w:bottom w:type="dxa" w:w="80"/>
              <w:right w:type="dxa" w:w="120"/>
            </w:tcMar>
          </w:tcPr>
          <w:p>
            <w:pPr>
              <w:spacing w:after="40" w:before="40"/>
            </w:pPr>
            <w:r>
              <w:rPr>
                <w:b w:val="false"/>
                <w:bCs w:val="false"/>
                <w:sz w:val="22"/>
                <w:szCs w:val="22"/>
              </w:rPr>
              <w:t xml:space="preserve">{{main_contract_signing_deadline}}</w:t>
            </w:r>
          </w:p>
        </w:tc>
      </w:tr>
    </w:tbl>
    <w:p>
      <w:pPr>
        <w:spacing w:after="120"/>
      </w:pPr>
      <w:r>
        <w:rPr>
          <w:sz w:val="22"/>
          <w:szCs w:val="22"/>
        </w:rPr>
        <w:t xml:space="preserve"/>
      </w:r>
    </w:p>
    <w:p>
      <w:pPr>
        <w:spacing w:after="160"/>
      </w:pPr>
      <w:r>
        <w:rPr>
          <w:b w:val="false"/>
          <w:bCs w:val="false"/>
          <w:sz w:val="22"/>
          <w:szCs w:val="22"/>
        </w:rPr>
        <w:t xml:space="preserve">4.2. Pooled kohustuvad tegutsema heas usus ning võtma kasutusele kõik mõistlikud meetmed, et Põhileping sõlmida punktis 4.1 nimetatud tähtaja jooksul.</w:t>
      </w:r>
    </w:p>
    <w:p>
      <w:pPr>
        <w:spacing w:after="160"/>
      </w:pPr>
      <w:r>
        <w:rPr>
          <w:b w:val="false"/>
          <w:bCs w:val="false"/>
          <w:sz w:val="22"/>
          <w:szCs w:val="22"/>
        </w:rPr>
        <w:t xml:space="preserve">4.3. Põhilepingu sõlmimisel arvestatakse Käsiraha Põhilepingu järgse hinna katteks (VÕS § 156 lõige 2). Käsiraha saaja väljastab vastava arvestusekande Põhilepingu allkirjastamise hetkel.</w:t>
      </w:r>
    </w:p>
    <w:p>
      <w:pPr>
        <w:spacing w:after="160"/>
      </w:pPr>
      <w:r>
        <w:rPr>
          <w:b w:val="false"/>
          <w:bCs w:val="false"/>
          <w:sz w:val="22"/>
          <w:szCs w:val="22"/>
        </w:rPr>
        <w:t xml:space="preserve">4.4. Põhilepingu ese on Pooltele teada ning ükski Pool ei saa hilisemalt tugineda asjaolule, et Põhilepingu ese on käesolevas Lepingus ebamääraselt kirjeldatud.</w:t>
      </w:r>
    </w:p>
    <w:p>
      <w:pPr>
        <w:pStyle w:val="Heading1"/>
        <w:spacing w:after="160" w:before="240"/>
      </w:pPr>
      <w:r>
        <w:rPr>
          <w:b/>
          <w:bCs/>
          <w:sz w:val="28"/>
          <w:szCs w:val="28"/>
        </w:rPr>
        <w:t xml:space="preserve">5. POOLTE KOHUSTUSED JA TAGAJÄRJED</w:t>
      </w:r>
    </w:p>
    <w:p>
      <w:pPr>
        <w:pStyle w:val="Heading2"/>
        <w:spacing w:after="120" w:before="180"/>
      </w:pPr>
      <w:r>
        <w:rPr>
          <w:b/>
          <w:bCs/>
          <w:sz w:val="24"/>
          <w:szCs w:val="24"/>
        </w:rPr>
        <w:t xml:space="preserve">5.1. Lepingu täitmine</w:t>
      </w:r>
    </w:p>
    <w:p>
      <w:pPr>
        <w:spacing w:after="160"/>
      </w:pPr>
      <w:r>
        <w:rPr>
          <w:b w:val="false"/>
          <w:bCs w:val="false"/>
          <w:sz w:val="22"/>
          <w:szCs w:val="22"/>
        </w:rPr>
        <w:t xml:space="preserve">5.1.1. Põhilepingu sõlmimisel punktis 4.1 fikseeritud tähtaja jooksul arvestatakse Käsiraha Põhilepingu järgse hinna katteks vastavalt punktile 4.3.</w:t>
      </w:r>
    </w:p>
    <w:p>
      <w:pPr>
        <w:spacing w:after="160"/>
      </w:pPr>
      <w:r>
        <w:rPr>
          <w:b w:val="false"/>
          <w:bCs w:val="false"/>
          <w:sz w:val="22"/>
          <w:szCs w:val="22"/>
        </w:rPr>
        <w:t xml:space="preserve">5.1.2. Käsiraha laekumine Käsiraha saajale ei vabasta Põhilepingu Poolt Põhilepingu järgsete kohustuste täitmisest, vaid loetakse Põhilepingu järgse esmase makse osaks.</w:t>
      </w:r>
    </w:p>
    <w:p>
      <w:pPr>
        <w:pStyle w:val="Heading2"/>
        <w:spacing w:after="120" w:before="180"/>
      </w:pPr>
      <w:r>
        <w:rPr>
          <w:b/>
          <w:bCs/>
          <w:sz w:val="24"/>
          <w:szCs w:val="24"/>
        </w:rPr>
        <w:t xml:space="preserve">5.2. Käsiraha andja vastutus</w:t>
      </w:r>
    </w:p>
    <w:p>
      <w:pPr>
        <w:spacing w:after="160"/>
      </w:pPr>
      <w:r>
        <w:rPr>
          <w:b w:val="false"/>
          <w:bCs w:val="false"/>
          <w:sz w:val="22"/>
          <w:szCs w:val="22"/>
        </w:rPr>
        <w:t xml:space="preserve">5.2.1. Kui Põhileping jääb sõlmimata Käsiraha andjast tulenevatel põhjustel, sealhulgas Käsiraha andja süü tõttu või tema poolt Põhilepingu sõlmimisest põhjuseta loobumise tõttu, </w:t>
      </w:r>
      <w:r>
        <w:rPr>
          <w:b/>
          <w:bCs/>
          <w:sz w:val="22"/>
          <w:szCs w:val="22"/>
        </w:rPr>
        <w:t xml:space="preserve">jääb Käsiraha Käsiraha saajale</w:t>
      </w:r>
      <w:r>
        <w:rPr>
          <w:b w:val="false"/>
          <w:bCs w:val="false"/>
          <w:sz w:val="22"/>
          <w:szCs w:val="22"/>
        </w:rPr>
        <w:t xml:space="preserve"> (VÕS § 157 lõige 1).</w:t>
      </w:r>
    </w:p>
    <w:p>
      <w:pPr>
        <w:spacing w:after="160"/>
      </w:pPr>
      <w:r>
        <w:rPr>
          <w:b w:val="false"/>
          <w:bCs w:val="false"/>
          <w:sz w:val="22"/>
          <w:szCs w:val="22"/>
        </w:rPr>
        <w:t xml:space="preserve">5.2.2. Käsiraha jäämine Käsiraha saajale käesoleva punkti 5.2 alusel ei välista Käsiraha saaja õigust nõuda täiendavat kahju hüvitamist üldistel alustel, kui Käsiraha andja rikkumisest tekkinud kahju ületab Käsiraha summat.</w:t>
      </w:r>
    </w:p>
    <w:p>
      <w:pPr>
        <w:pStyle w:val="Heading2"/>
        <w:spacing w:after="120" w:before="180"/>
      </w:pPr>
      <w:r>
        <w:rPr>
          <w:b/>
          <w:bCs/>
          <w:sz w:val="24"/>
          <w:szCs w:val="24"/>
        </w:rPr>
        <w:t xml:space="preserve">5.3. Käsiraha saaja vastutus</w:t>
      </w:r>
    </w:p>
    <w:p>
      <w:pPr>
        <w:spacing w:after="160"/>
      </w:pPr>
      <w:r>
        <w:rPr>
          <w:b w:val="false"/>
          <w:bCs w:val="false"/>
          <w:sz w:val="22"/>
          <w:szCs w:val="22"/>
        </w:rPr>
        <w:t xml:space="preserve">5.3.1. Kui Põhileping jääb sõlmimata Käsiraha saajast tulenevatel põhjustel, sealhulgas Käsiraha saaja süü tõttu või tema poolt Põhilepingu sõlmimisest põhjuseta loobumise tõttu, </w:t>
      </w:r>
      <w:r>
        <w:rPr>
          <w:b/>
          <w:bCs/>
          <w:sz w:val="22"/>
          <w:szCs w:val="22"/>
        </w:rPr>
        <w:t xml:space="preserve">tagastab Käsiraha saaja Käsiraha andjale Käsiraha täies ulatuses</w:t>
      </w:r>
      <w:r>
        <w:rPr>
          <w:b w:val="false"/>
          <w:bCs w:val="false"/>
          <w:sz w:val="22"/>
          <w:szCs w:val="22"/>
        </w:rPr>
        <w:t xml:space="preserve"> (VÕS § 157 lõige 2).</w:t>
      </w:r>
    </w:p>
    <w:p>
      <w:pPr>
        <w:spacing w:after="160"/>
      </w:pPr>
      <w:r>
        <w:rPr>
          <w:b w:val="false"/>
          <w:bCs w:val="false"/>
          <w:sz w:val="22"/>
          <w:szCs w:val="22"/>
        </w:rPr>
        <w:t xml:space="preserve">5.3.2. Pooled kinnitavad, et nad on teadlikud, et VÕS § 157 ei sätesta Käsiraha saaja kohustust tagastada Käsiraha kahekordses suuruses. Käesolevaga lepivad Pooled kokku, et Käsiraha saaja poolt Põhilepingu sõlmimisest süüliselt loobumise korral tasub Käsiraha saaja Käsiraha andjale lisaks Käsiraha tagastamisele </w:t>
      </w:r>
      <w:r>
        <w:rPr>
          <w:b/>
          <w:bCs/>
          <w:sz w:val="22"/>
          <w:szCs w:val="22"/>
        </w:rPr>
        <w:t xml:space="preserve">leppetrahvi Käsiraha summa ulatuses</w:t>
      </w:r>
      <w:r>
        <w:rPr>
          <w:b w:val="false"/>
          <w:bCs w:val="false"/>
          <w:sz w:val="22"/>
          <w:szCs w:val="22"/>
        </w:rPr>
        <w:t xml:space="preserve"> (VÕS § 158).</w:t>
      </w:r>
    </w:p>
    <w:p>
      <w:pPr>
        <w:spacing w:after="160"/>
      </w:pPr>
      <w:r>
        <w:rPr>
          <w:b w:val="false"/>
          <w:bCs w:val="false"/>
          <w:sz w:val="22"/>
          <w:szCs w:val="22"/>
        </w:rPr>
        <w:t xml:space="preserve">5.3.3. Käesoleva punkti 5.3.2 kohane leppetrahv tasutakse Käsiraha andja pangakontole hiljemalt </w:t>
      </w:r>
      <w:r>
        <w:rPr>
          <w:b/>
          <w:bCs/>
          <w:sz w:val="22"/>
          <w:szCs w:val="22"/>
        </w:rPr>
        <w:t xml:space="preserve">kümne (10) kalendripäeva</w:t>
      </w:r>
      <w:r>
        <w:rPr>
          <w:b w:val="false"/>
          <w:bCs w:val="false"/>
          <w:sz w:val="22"/>
          <w:szCs w:val="22"/>
        </w:rPr>
        <w:t xml:space="preserve"> jooksul Käsiraha andja vastava nõude esitamisest. Pooled on teadlikud, et VÕS § 162 alusel võib kohus ebamõistlikult suurt leppetrahvi alandada.</w:t>
      </w:r>
    </w:p>
    <w:p>
      <w:pPr>
        <w:spacing w:after="160"/>
      </w:pPr>
      <w:r>
        <w:rPr>
          <w:b w:val="false"/>
          <w:bCs w:val="false"/>
          <w:sz w:val="22"/>
          <w:szCs w:val="22"/>
        </w:rPr>
        <w:t xml:space="preserve">5.3.4. Käsiraha tagastamine ja leppetrahvi tasumine käesoleva punkti 5.3 alusel ei välista Käsiraha andja õigust nõuda täiendavat kahju hüvitamist üldistel alustel, kui rikkumisest tekkinud kahju ületab Käsiraha ja leppetrahvi summat.</w:t>
      </w:r>
    </w:p>
    <w:p>
      <w:pPr>
        <w:pStyle w:val="Heading2"/>
        <w:spacing w:after="120" w:before="180"/>
      </w:pPr>
      <w:r>
        <w:rPr>
          <w:b/>
          <w:bCs/>
          <w:sz w:val="24"/>
          <w:szCs w:val="24"/>
        </w:rPr>
        <w:t xml:space="preserve">5.4. Vastastikune kokkulepe ja vääramatu jõud</w:t>
      </w:r>
    </w:p>
    <w:p>
      <w:pPr>
        <w:spacing w:after="160"/>
      </w:pPr>
      <w:r>
        <w:rPr>
          <w:b w:val="false"/>
          <w:bCs w:val="false"/>
          <w:sz w:val="22"/>
          <w:szCs w:val="22"/>
        </w:rPr>
        <w:t xml:space="preserve">5.4.1. Kui Põhileping jääb sõlmimata Poolte vastastikuse kirjaliku kokkuleppe alusel või mõlemast Poolest sõltumatutel põhjustel (sealhulgas vääramatu jõu tõttu VÕS § 103 mõttes), </w:t>
      </w:r>
      <w:r>
        <w:rPr>
          <w:b/>
          <w:bCs/>
          <w:sz w:val="22"/>
          <w:szCs w:val="22"/>
        </w:rPr>
        <w:t xml:space="preserve">tagastab Käsiraha saaja Käsiraha andjale Käsiraha täies ulatuses</w:t>
      </w:r>
      <w:r>
        <w:rPr>
          <w:b w:val="false"/>
          <w:bCs w:val="false"/>
          <w:sz w:val="22"/>
          <w:szCs w:val="22"/>
        </w:rPr>
        <w:t xml:space="preserve"> ühekordses suuruses ilma täiendavate kohustusteta.</w:t>
      </w:r>
    </w:p>
    <w:p>
      <w:pPr>
        <w:spacing w:after="160"/>
      </w:pPr>
      <w:r>
        <w:rPr>
          <w:b w:val="false"/>
          <w:bCs w:val="false"/>
          <w:sz w:val="22"/>
          <w:szCs w:val="22"/>
        </w:rPr>
        <w:t xml:space="preserve">5.4.2. Käsiraha tagastatakse käesoleva punkti 5.4 alusel Käsiraha andjale hiljemalt </w:t>
      </w:r>
      <w:r>
        <w:rPr>
          <w:b/>
          <w:bCs/>
          <w:sz w:val="22"/>
          <w:szCs w:val="22"/>
        </w:rPr>
        <w:t xml:space="preserve">kümne (10) kalendripäeva</w:t>
      </w:r>
      <w:r>
        <w:rPr>
          <w:b w:val="false"/>
          <w:bCs w:val="false"/>
          <w:sz w:val="22"/>
          <w:szCs w:val="22"/>
        </w:rPr>
        <w:t xml:space="preserve"> jooksul asjaolu ilmnemisest, mille tõttu Põhileping jääb sõlmimata.</w:t>
      </w:r>
    </w:p>
    <w:p>
      <w:pPr>
        <w:pStyle w:val="Heading1"/>
        <w:spacing w:after="160" w:before="240"/>
      </w:pPr>
      <w:r>
        <w:rPr>
          <w:b/>
          <w:bCs/>
          <w:sz w:val="28"/>
          <w:szCs w:val="28"/>
        </w:rPr>
        <w:t xml:space="preserve">6. ERITINGIMUSED</w:t>
      </w:r>
    </w:p>
    <w:p>
      <w:pPr>
        <w:pStyle w:val="Heading2"/>
        <w:spacing w:after="120" w:before="180"/>
      </w:pPr>
      <w:r>
        <w:rPr>
          <w:b/>
          <w:bCs/>
          <w:sz w:val="24"/>
          <w:szCs w:val="24"/>
        </w:rPr>
        <w:t xml:space="preserve">6.1. Pangalaenu tingimus</w:t>
      </w:r>
    </w:p>
    <w:p>
      <w:pPr>
        <w:spacing w:after="160"/>
      </w:pPr>
      <w:r>
        <w:rPr>
          <w:b w:val="false"/>
          <w:bCs w:val="false"/>
          <w:sz w:val="22"/>
          <w:szCs w:val="22"/>
        </w:rPr>
        <w:t xml:space="preserve">6.1.1. Pooled lepivad kokku, et Põhilepingu sõlmimine on tingimuslik Käsiraha andjale </w:t>
      </w:r>
      <w:r>
        <w:rPr>
          <w:b/>
          <w:bCs/>
          <w:sz w:val="22"/>
          <w:szCs w:val="22"/>
        </w:rPr>
        <w:t xml:space="preserve">{{financing_lender}}</w:t>
      </w:r>
      <w:r>
        <w:rPr>
          <w:b w:val="false"/>
          <w:bCs w:val="false"/>
          <w:sz w:val="22"/>
          <w:szCs w:val="22"/>
        </w:rPr>
        <w:t xml:space="preserve"> poolt antava laenuotsuse osas.</w:t>
      </w:r>
    </w:p>
    <w:p>
      <w:pPr>
        <w:spacing w:after="160"/>
      </w:pPr>
      <w:r>
        <w:rPr>
          <w:b w:val="false"/>
          <w:bCs w:val="false"/>
          <w:sz w:val="22"/>
          <w:szCs w:val="22"/>
        </w:rPr>
        <w:t xml:space="preserve">6.1.2. Kui Käsiraha andja ei saa </w:t>
      </w:r>
      <w:r>
        <w:rPr>
          <w:b/>
          <w:bCs/>
          <w:sz w:val="22"/>
          <w:szCs w:val="22"/>
        </w:rPr>
        <w:t xml:space="preserve">{{financing_decision_deadline}}</w:t>
      </w:r>
      <w:r>
        <w:rPr>
          <w:b w:val="false"/>
          <w:bCs w:val="false"/>
          <w:sz w:val="22"/>
          <w:szCs w:val="22"/>
        </w:rPr>
        <w:t xml:space="preserve"> seisuga laenuandjalt positiivset laenuotsust Põhilepingu järgse koguhinna rahastamiseks, ei loeta seda Käsiraha andja süüks ning Käsiraha saaja </w:t>
      </w:r>
      <w:r>
        <w:rPr>
          <w:b/>
          <w:bCs/>
          <w:sz w:val="22"/>
          <w:szCs w:val="22"/>
        </w:rPr>
        <w:t xml:space="preserve">tagastab Käsiraha andjale Käsiraha täies ulatuses</w:t>
      </w:r>
      <w:r>
        <w:rPr>
          <w:b w:val="false"/>
          <w:bCs w:val="false"/>
          <w:sz w:val="22"/>
          <w:szCs w:val="22"/>
        </w:rPr>
        <w:t xml:space="preserve"> ühekordses suuruses vastavalt punktile 5.4.</w:t>
      </w:r>
    </w:p>
    <w:p>
      <w:pPr>
        <w:spacing w:after="160"/>
      </w:pPr>
      <w:r>
        <w:rPr>
          <w:b w:val="false"/>
          <w:bCs w:val="false"/>
          <w:sz w:val="22"/>
          <w:szCs w:val="22"/>
        </w:rPr>
        <w:t xml:space="preserve">6.1.3. Käsiraha andja kohustub esitama Käsiraha saajale laenuandja kirjaliku negatiivse otsuse koopia või muu tõendi laenu mitteandmise kohta hiljemalt </w:t>
      </w:r>
      <w:r>
        <w:rPr>
          <w:b/>
          <w:bCs/>
          <w:sz w:val="22"/>
          <w:szCs w:val="22"/>
        </w:rPr>
        <w:t xml:space="preserve">viie (5) tööpäeva</w:t>
      </w:r>
      <w:r>
        <w:rPr>
          <w:b w:val="false"/>
          <w:bCs w:val="false"/>
          <w:sz w:val="22"/>
          <w:szCs w:val="22"/>
        </w:rPr>
        <w:t xml:space="preserve"> jooksul otsuse saamisest.</w:t>
      </w:r>
    </w:p>
    <w:p>
      <w:pPr>
        <w:pStyle w:val="Heading2"/>
        <w:spacing w:after="120" w:before="180"/>
      </w:pPr>
      <w:r>
        <w:rPr>
          <w:b/>
          <w:bCs/>
          <w:sz w:val="24"/>
          <w:szCs w:val="24"/>
        </w:rPr>
        <w:t xml:space="preserve">6.2. Tähtaja pikendamine</w:t>
      </w:r>
    </w:p>
    <w:p>
      <w:pPr>
        <w:spacing w:after="160"/>
      </w:pPr>
      <w:r>
        <w:rPr>
          <w:b w:val="false"/>
          <w:bCs w:val="false"/>
          <w:sz w:val="22"/>
          <w:szCs w:val="22"/>
        </w:rPr>
        <w:t xml:space="preserve">6.2.1. Pooled võivad punktis 4.1 nimetatud Põhilepingu sõlmimise tähtaega pikendada kirjaliku kokkuleppega, mis vormistatakse käesoleva Lepingu lisana.</w:t>
      </w:r>
    </w:p>
    <w:p>
      <w:pPr>
        <w:spacing w:after="160"/>
      </w:pPr>
      <w:r>
        <w:rPr>
          <w:b w:val="false"/>
          <w:bCs w:val="false"/>
          <w:sz w:val="22"/>
          <w:szCs w:val="22"/>
        </w:rPr>
        <w:t xml:space="preserve">6.2.2. Tähtaja pikendamise kokkulepe ei muuda Käsiraha suurust ega selle õiguslikku olemust.</w:t>
      </w:r>
    </w:p>
    <w:p>
      <w:pPr>
        <w:pStyle w:val="Heading2"/>
        <w:spacing w:after="120" w:before="180"/>
      </w:pPr>
      <w:r>
        <w:rPr>
          <w:b/>
          <w:bCs/>
          <w:sz w:val="24"/>
          <w:szCs w:val="24"/>
        </w:rPr>
        <w:t xml:space="preserve">6.3. Notariaalse vormi hoiatus</w:t>
      </w:r>
    </w:p>
    <w:p>
      <w:pPr>
        <w:spacing w:after="160"/>
      </w:pPr>
      <w:r>
        <w:rPr>
          <w:b w:val="false"/>
          <w:bCs w:val="false"/>
          <w:sz w:val="22"/>
          <w:szCs w:val="22"/>
        </w:rPr>
        <w:t xml:space="preserve">6.3.1. Pooled kinnitavad, et nad on teadlikud, et Asjaõigusseaduse § 119 lõike 1 kohaselt peab tehing, millega kohustutakse omandama või võõrandama kinnisasja, olema </w:t>
      </w:r>
      <w:r>
        <w:rPr>
          <w:b/>
          <w:bCs/>
          <w:sz w:val="22"/>
          <w:szCs w:val="22"/>
        </w:rPr>
        <w:t xml:space="preserve">notariaalselt tõestatud</w:t>
      </w:r>
      <w:r>
        <w:rPr>
          <w:b w:val="false"/>
          <w:bCs w:val="false"/>
          <w:sz w:val="22"/>
          <w:szCs w:val="22"/>
        </w:rPr>
        <w:t xml:space="preserve">.</w:t>
      </w:r>
    </w:p>
    <w:p>
      <w:pPr>
        <w:spacing w:after="160"/>
      </w:pPr>
      <w:r>
        <w:rPr>
          <w:b w:val="false"/>
          <w:bCs w:val="false"/>
          <w:sz w:val="22"/>
          <w:szCs w:val="22"/>
        </w:rPr>
        <w:t xml:space="preserve">6.3.2. Kui käesolev Leping sisaldab Käsiraha andja või Käsiraha saaja kohustust tulevikus kinnisasja võõrandamise lepingut sõlmida ning käesolev Leping ei ole notariaalselt tõestatud, on Leping AÕS § 119 lõike 2 ja TsÜS § 83 lõike 1 alusel </w:t>
      </w:r>
      <w:r>
        <w:rPr>
          <w:b/>
          <w:bCs/>
          <w:sz w:val="22"/>
          <w:szCs w:val="22"/>
        </w:rPr>
        <w:t xml:space="preserve">tühine</w:t>
      </w:r>
      <w:r>
        <w:rPr>
          <w:b w:val="false"/>
          <w:bCs w:val="false"/>
          <w:sz w:val="22"/>
          <w:szCs w:val="22"/>
        </w:rPr>
        <w:t xml:space="preserve">. Tühisest lepingust makstud Käsiraha tuleb tagastada alusetu rikastumise sätete alusel (VÕS § 1027 jj).</w:t>
      </w:r>
    </w:p>
    <w:p>
      <w:pPr>
        <w:spacing w:after="160"/>
      </w:pPr>
      <w:r>
        <w:rPr>
          <w:b w:val="false"/>
          <w:bCs w:val="false"/>
          <w:sz w:val="22"/>
          <w:szCs w:val="22"/>
        </w:rPr>
        <w:t xml:space="preserve">6.3.3. Käesolevat Lepingut lihtkirjalikus või digitaalselt allkirjastatud vormis saavad Pooled kasutada juhul, kui Põhileping ei nõua notariaalset tõestamist (sealhulgas vallasvara müük, üürilepingu sõlmimine, teenuse osutamine) või kui käesolev Leping on </w:t>
      </w:r>
      <w:r>
        <w:rPr>
          <w:b/>
          <w:bCs/>
          <w:sz w:val="22"/>
          <w:szCs w:val="22"/>
        </w:rPr>
        <w:t xml:space="preserve">broneerimisleping</w:t>
      </w:r>
      <w:r>
        <w:rPr>
          <w:b w:val="false"/>
          <w:bCs w:val="false"/>
          <w:sz w:val="22"/>
          <w:szCs w:val="22"/>
        </w:rPr>
        <w:t xml:space="preserve">, milles kumbki Pool ei kohustu Põhilepingut tulevikus sõlmima ning Käsiraha tagab üksnes Põhilepingu eseme kolmandatele isikutele mittepakkumise kokkulepitud ajaks.</w:t>
      </w:r>
    </w:p>
    <w:p>
      <w:pPr>
        <w:spacing w:after="160"/>
      </w:pPr>
      <w:r>
        <w:rPr>
          <w:b w:val="false"/>
          <w:bCs w:val="false"/>
          <w:sz w:val="22"/>
          <w:szCs w:val="22"/>
        </w:rPr>
        <w:t xml:space="preserve">6.3.4. Kui Pooled soovivad sõlmida õigusjõulise kinnisasja eellepingu, kohustuvad nad pöörduma notari poole ning sõlmima Lepingu notariaalselt tõestatud vormis.</w:t>
      </w:r>
    </w:p>
    <w:p>
      <w:pPr>
        <w:pStyle w:val="Heading1"/>
        <w:spacing w:after="160" w:before="240"/>
      </w:pPr>
      <w:r>
        <w:rPr>
          <w:b/>
          <w:bCs/>
          <w:sz w:val="28"/>
          <w:szCs w:val="28"/>
        </w:rPr>
        <w:t xml:space="preserve">7. LÕPPSÄTTED</w:t>
      </w:r>
    </w:p>
    <w:p>
      <w:pPr>
        <w:spacing w:after="160"/>
      </w:pPr>
      <w:r>
        <w:rPr>
          <w:b w:val="false"/>
          <w:bCs w:val="false"/>
          <w:sz w:val="22"/>
          <w:szCs w:val="22"/>
        </w:rPr>
        <w:t xml:space="preserve">7.1. Pooled edastavad omavahelised teated käesoleva Lepingu punktis 1 nimetatud kontaktandmetel. Teade loetakse kättesaaduks, kui see on saadetud e-posti aadressile saatmise päeval (eeldusel, et puudub veateade) või tähtkirjaga kolmandal tööpäeval pärast postitamist.</w:t>
      </w:r>
    </w:p>
    <w:p>
      <w:pPr>
        <w:spacing w:after="160"/>
      </w:pPr>
      <w:r>
        <w:rPr>
          <w:b w:val="false"/>
          <w:bCs w:val="false"/>
          <w:sz w:val="22"/>
          <w:szCs w:val="22"/>
        </w:rPr>
        <w:t xml:space="preserve">7.2. Käesolevast Lepingust tulenevad vaidlused lahendavad Pooled läbirääkimiste teel. Kokkuleppe mittesaavutamisel lahendatakse vaidlused </w:t>
      </w:r>
      <w:r>
        <w:rPr>
          <w:b/>
          <w:bCs/>
          <w:sz w:val="22"/>
          <w:szCs w:val="22"/>
        </w:rPr>
        <w:t xml:space="preserve">{{governing_court}}</w:t>
      </w:r>
      <w:r>
        <w:rPr>
          <w:b w:val="false"/>
          <w:bCs w:val="false"/>
          <w:sz w:val="22"/>
          <w:szCs w:val="22"/>
        </w:rPr>
        <w:t xml:space="preserve">.</w:t>
      </w:r>
    </w:p>
    <w:p>
      <w:pPr>
        <w:spacing w:after="160"/>
      </w:pPr>
      <w:r>
        <w:rPr>
          <w:b w:val="false"/>
          <w:bCs w:val="false"/>
          <w:sz w:val="22"/>
          <w:szCs w:val="22"/>
        </w:rPr>
        <w:t xml:space="preserve">7.3. Käesolevale Lepingule kohaldatakse </w:t>
      </w:r>
      <w:r>
        <w:rPr>
          <w:b/>
          <w:bCs/>
          <w:sz w:val="22"/>
          <w:szCs w:val="22"/>
        </w:rPr>
        <w:t xml:space="preserve">{{governing_jurisdiction}}</w:t>
      </w:r>
      <w:r>
        <w:rPr>
          <w:b w:val="false"/>
          <w:bCs w:val="false"/>
          <w:sz w:val="22"/>
          <w:szCs w:val="22"/>
        </w:rPr>
        <w:t xml:space="preserve">.</w:t>
      </w:r>
    </w:p>
    <w:p>
      <w:pPr>
        <w:spacing w:after="160"/>
      </w:pPr>
      <w:r>
        <w:rPr>
          <w:b w:val="false"/>
          <w:bCs w:val="false"/>
          <w:sz w:val="22"/>
          <w:szCs w:val="22"/>
        </w:rPr>
        <w:t xml:space="preserve">7.4. Lepingut saab muuta ja täiendada üksnes Poolte kirjalikul kokkuleppel, mis vormistatakse Lepingu lisana.</w:t>
      </w:r>
    </w:p>
    <w:p>
      <w:pPr>
        <w:spacing w:after="160"/>
      </w:pPr>
      <w:r>
        <w:rPr>
          <w:b w:val="false"/>
          <w:bCs w:val="false"/>
          <w:sz w:val="22"/>
          <w:szCs w:val="22"/>
        </w:rPr>
        <w:t xml:space="preserve">7.5. Kui mõni Lepingu säte osutub kehtetuks, ei mõjuta see ülejäänud Lepingu sätete kehtivust. Kehtetu säte asendatakse seadusele vastava sättega, mis kõige täpsemini vastab Poolte algsele tahtele.</w:t>
      </w:r>
    </w:p>
    <w:p>
      <w:pPr>
        <w:spacing w:after="160"/>
      </w:pPr>
      <w:r>
        <w:rPr>
          <w:b w:val="false"/>
          <w:bCs w:val="false"/>
          <w:sz w:val="22"/>
          <w:szCs w:val="22"/>
        </w:rPr>
        <w:t xml:space="preserve">7.6. Leping on koostatud ja allkirjastatud kahes eksemplaris, millest kumbki Pool saab ühe. Digitaalselt allkirjastatud Lepingu puhul on Leping üks elektrooniline eksemplar.</w:t>
      </w:r>
    </w:p>
    <w:p>
      <w:pPr>
        <w:spacing w:after="160"/>
      </w:pPr>
      <w:r>
        <w:rPr>
          <w:b w:val="false"/>
          <w:bCs w:val="false"/>
          <w:sz w:val="22"/>
          <w:szCs w:val="22"/>
        </w:rPr>
        <w:t xml:space="preserve">7.7. Käesolev Leping jõustub Poolte poolt allkirjastamise (sealhulgas digiallkirjastamise) hetkel ning kehtib kuni Poolte kõigi kohustuste täieliku täitmiseni.</w:t>
      </w:r>
    </w:p>
    <w:p>
      <w:pPr>
        <w:pStyle w:val="Heading1"/>
        <w:spacing w:after="160" w:before="240"/>
      </w:pPr>
      <w:r>
        <w:rPr>
          <w:b/>
          <w:bCs/>
          <w:sz w:val="28"/>
          <w:szCs w:val="28"/>
        </w:rPr>
        <w:t xml:space="preserve">OSAPOOLTE ALLKIRJAD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Käsiraha andja</w:t>
            </w:r>
          </w:p>
        </w:tc>
        <w:tc>
          <w:tcPr>
            <w:tcW w:type="pct" w:w="33%"/>
            <w:tcMar>
              <w:top w:type="dxa" w:w="80"/>
              <w:left w:type="dxa" w:w="120"/>
              <w:bottom w:type="dxa" w:w="80"/>
              <w:right w:type="dxa" w:w="120"/>
            </w:tcMar>
          </w:tcPr>
          <w:p>
            <w:pPr>
              <w:spacing w:after="40" w:before="40"/>
            </w:pPr>
            <w:r>
              <w:rPr>
                <w:b w:val="false"/>
                <w:bCs w:val="false"/>
                <w:sz w:val="22"/>
                <w:szCs w:val="22"/>
              </w:rPr>
              <w:t xml:space="preserve">Käsiraha saaja</w:t>
            </w:r>
          </w:p>
        </w:tc>
      </w:tr>
      <w:tr>
        <w:tc>
          <w:tcPr>
            <w:tcW w:type="pct" w:w="33%"/>
            <w:tcMar>
              <w:top w:type="dxa" w:w="80"/>
              <w:left w:type="dxa" w:w="120"/>
              <w:bottom w:type="dxa" w:w="80"/>
              <w:right w:type="dxa" w:w="120"/>
            </w:tcMar>
          </w:tcPr>
          <w:p>
            <w:pPr>
              <w:spacing w:after="40" w:before="40"/>
            </w:pPr>
            <w:r>
              <w:rPr>
                <w:b/>
                <w:bCs/>
                <w:sz w:val="22"/>
                <w:szCs w:val="22"/>
              </w:rPr>
              <w:t xml:space="preserve">Nimi</w:t>
            </w:r>
          </w:p>
        </w:tc>
        <w:tc>
          <w:tcPr>
            <w:tcW w:type="pct" w:w="33%"/>
            <w:tcMar>
              <w:top w:type="dxa" w:w="80"/>
              <w:left w:type="dxa" w:w="120"/>
              <w:bottom w:type="dxa" w:w="80"/>
              <w:right w:type="dxa" w:w="120"/>
            </w:tcMar>
          </w:tcPr>
          <w:p>
            <w:pPr>
              <w:spacing w:after="40" w:before="40"/>
            </w:pPr>
            <w:r>
              <w:rPr>
                <w:b w:val="false"/>
                <w:bCs w:val="false"/>
                <w:sz w:val="22"/>
                <w:szCs w:val="22"/>
              </w:rPr>
              <w:t xml:space="preserve">{{party_a_name}}</w:t>
            </w:r>
          </w:p>
        </w:tc>
        <w:tc>
          <w:tcPr>
            <w:tcW w:type="pct" w:w="33%"/>
            <w:tcMar>
              <w:top w:type="dxa" w:w="80"/>
              <w:left w:type="dxa" w:w="120"/>
              <w:bottom w:type="dxa" w:w="80"/>
              <w:right w:type="dxa" w:w="120"/>
            </w:tcMar>
          </w:tcPr>
          <w:p>
            <w:pPr>
              <w:spacing w:after="40" w:before="40"/>
            </w:pPr>
            <w:r>
              <w:rPr>
                <w:b w:val="false"/>
                <w:bCs w:val="false"/>
                <w:sz w:val="22"/>
                <w:szCs w:val="22"/>
              </w:rPr>
              <w:t xml:space="preserve">{{party_b_name}}</w:t>
            </w:r>
          </w:p>
        </w:tc>
      </w:tr>
      <w:tr>
        <w:tc>
          <w:tcPr>
            <w:tcW w:type="pct" w:w="33%"/>
            <w:tcMar>
              <w:top w:type="dxa" w:w="80"/>
              <w:left w:type="dxa" w:w="120"/>
              <w:bottom w:type="dxa" w:w="80"/>
              <w:right w:type="dxa" w:w="120"/>
            </w:tcMar>
          </w:tcPr>
          <w:p>
            <w:pPr>
              <w:spacing w:after="40" w:before="40"/>
            </w:pPr>
            <w:r>
              <w:rPr>
                <w:b/>
                <w:bCs/>
                <w:sz w:val="22"/>
                <w:szCs w:val="22"/>
              </w:rPr>
              <w:t xml:space="preserve">Isiku-/registrikood</w:t>
            </w:r>
          </w:p>
        </w:tc>
        <w:tc>
          <w:tcPr>
            <w:tcW w:type="pct" w:w="33%"/>
            <w:tcMar>
              <w:top w:type="dxa" w:w="80"/>
              <w:left w:type="dxa" w:w="120"/>
              <w:bottom w:type="dxa" w:w="80"/>
              <w:right w:type="dxa" w:w="120"/>
            </w:tcMar>
          </w:tcPr>
          <w:p>
            <w:pPr>
              <w:spacing w:after="40" w:before="40"/>
            </w:pPr>
            <w:r>
              <w:rPr>
                <w:b w:val="false"/>
                <w:bCs w:val="false"/>
                <w:sz w:val="22"/>
                <w:szCs w:val="22"/>
              </w:rPr>
              <w:t xml:space="preserve">{{party_a_code}}</w:t>
            </w:r>
          </w:p>
        </w:tc>
        <w:tc>
          <w:tcPr>
            <w:tcW w:type="pct" w:w="33%"/>
            <w:tcMar>
              <w:top w:type="dxa" w:w="80"/>
              <w:left w:type="dxa" w:w="120"/>
              <w:bottom w:type="dxa" w:w="80"/>
              <w:right w:type="dxa" w:w="120"/>
            </w:tcMar>
          </w:tcPr>
          <w:p>
            <w:pPr>
              <w:spacing w:after="40" w:before="40"/>
            </w:pPr>
            <w:r>
              <w:rPr>
                <w:b w:val="false"/>
                <w:bCs w:val="false"/>
                <w:sz w:val="22"/>
                <w:szCs w:val="22"/>
              </w:rPr>
              <w:t xml:space="preserve">{{party_b_code}}</w:t>
            </w:r>
          </w:p>
        </w:tc>
      </w:tr>
      <w:tr>
        <w:tc>
          <w:tcPr>
            <w:tcW w:type="pct" w:w="33%"/>
            <w:tcMar>
              <w:top w:type="dxa" w:w="80"/>
              <w:left w:type="dxa" w:w="120"/>
              <w:bottom w:type="dxa" w:w="80"/>
              <w:right w:type="dxa" w:w="120"/>
            </w:tcMar>
          </w:tcPr>
          <w:p>
            <w:pPr>
              <w:spacing w:after="40" w:before="40"/>
            </w:pPr>
            <w:r>
              <w:rPr>
                <w:b/>
                <w:bCs/>
                <w:sz w:val="22"/>
                <w:szCs w:val="22"/>
              </w:rPr>
              <w:t xml:space="preserve">Allkiri</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\_\_\_\_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Kuupäev</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Käsiraha lepingu näidis</dc:title>
  <dc:creator>Agrello</dc:creator>
  <cp:lastModifiedBy>Un-named</cp:lastModifiedBy>
  <cp:revision>1</cp:revision>
  <dcterms:created xsi:type="dcterms:W3CDTF">2026-05-29T10:04:53.431Z</dcterms:created>
  <dcterms:modified xsi:type="dcterms:W3CDTF">2026-05-29T10:04:53.431Z</dcterms:modified>
</cp:coreProperties>
</file>

<file path=docProps/custom.xml><?xml version="1.0" encoding="utf-8"?>
<Properties xmlns="http://schemas.openxmlformats.org/officeDocument/2006/custom-properties" xmlns:vt="http://schemas.openxmlformats.org/officeDocument/2006/docPropsVTypes"/>
</file>