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300"/>
        <w:jc w:val="center"/>
      </w:pPr>
      <w:r>
        <w:rPr>
          <w:b/>
          <w:bCs/>
          <w:sz w:val="36"/>
          <w:szCs w:val="36"/>
        </w:rPr>
        <w:t xml:space="preserve">KINKELEPING Nr. {{contract_number}}</w:t>
      </w:r>
    </w:p>
    <w:p>
      <w:pPr>
        <w:spacing w:after="160"/>
      </w:pPr>
      <w:r>
        <w:rPr>
          <w:b w:val="false"/>
          <w:bCs w:val="false"/>
          <w:sz w:val="22"/>
          <w:szCs w:val="22"/>
        </w:rPr>
        <w:t xml:space="preserve">{{contract_location}}, {{contract_date}}</w:t>
      </w:r>
    </w:p>
    <w:p>
      <w:pPr>
        <w:pStyle w:val="Heading1"/>
        <w:spacing w:after="160" w:before="240"/>
      </w:pPr>
      <w:r>
        <w:rPr>
          <w:b/>
          <w:bCs/>
          <w:sz w:val="28"/>
          <w:szCs w:val="28"/>
        </w:rPr>
        <w:t xml:space="preserve">1. LEPINGU POOLED</w:t>
      </w:r>
    </w:p>
    <w:p>
      <w:pPr>
        <w:spacing w:after="160"/>
      </w:pPr>
      <w:r>
        <w:rPr>
          <w:b/>
          <w:bCs/>
          <w:sz w:val="22"/>
          <w:szCs w:val="22"/>
        </w:rPr>
        <w:t xml:space="preserve">Kinkija:</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tcMar>
              <w:top w:type="dxa" w:w="80"/>
              <w:left w:type="dxa" w:w="120"/>
              <w:bottom w:type="dxa" w:w="80"/>
              <w:right w:type="dxa" w:w="120"/>
            </w:tcMar>
          </w:tcPr>
          <w:p>
            <w:pPr>
              <w:spacing w:after="40" w:before="40"/>
            </w:pPr>
            <w:r>
              <w:rPr>
                <w:b/>
                <w:bCs/>
                <w:sz w:val="22"/>
                <w:szCs w:val="22"/>
              </w:rPr>
              <w:t xml:space="preserve">Nimi</w:t>
            </w:r>
          </w:p>
        </w:tc>
        <w:tc>
          <w:tcPr>
            <w:tcW w:type="pct" w:w="50%"/>
            <w:tcMar>
              <w:top w:type="dxa" w:w="80"/>
              <w:left w:type="dxa" w:w="120"/>
              <w:bottom w:type="dxa" w:w="80"/>
              <w:right w:type="dxa" w:w="120"/>
            </w:tcMar>
          </w:tcPr>
          <w:p>
            <w:pPr>
              <w:spacing w:after="40" w:before="40"/>
            </w:pPr>
            <w:r>
              <w:rPr>
                <w:b w:val="false"/>
                <w:bCs w:val="false"/>
                <w:sz w:val="22"/>
                <w:szCs w:val="22"/>
              </w:rPr>
              <w:t xml:space="preserve">{{donor_name}}</w:t>
            </w:r>
          </w:p>
        </w:tc>
      </w:tr>
      <w:tr>
        <w:tc>
          <w:tcPr>
            <w:tcW w:type="pct" w:w="50%"/>
            <w:tcMar>
              <w:top w:type="dxa" w:w="80"/>
              <w:left w:type="dxa" w:w="120"/>
              <w:bottom w:type="dxa" w:w="80"/>
              <w:right w:type="dxa" w:w="120"/>
            </w:tcMar>
          </w:tcPr>
          <w:p>
            <w:pPr>
              <w:spacing w:after="40" w:before="40"/>
            </w:pPr>
            <w:r>
              <w:rPr>
                <w:b/>
                <w:bCs/>
                <w:sz w:val="22"/>
                <w:szCs w:val="22"/>
              </w:rPr>
              <w:t xml:space="preserve">Isiku-/registrikood</w:t>
            </w:r>
          </w:p>
        </w:tc>
        <w:tc>
          <w:tcPr>
            <w:tcW w:type="pct" w:w="50%"/>
            <w:tcMar>
              <w:top w:type="dxa" w:w="80"/>
              <w:left w:type="dxa" w:w="120"/>
              <w:bottom w:type="dxa" w:w="80"/>
              <w:right w:type="dxa" w:w="120"/>
            </w:tcMar>
          </w:tcPr>
          <w:p>
            <w:pPr>
              <w:spacing w:after="40" w:before="40"/>
            </w:pPr>
            <w:r>
              <w:rPr>
                <w:b w:val="false"/>
                <w:bCs w:val="false"/>
                <w:sz w:val="22"/>
                <w:szCs w:val="22"/>
              </w:rPr>
              <w:t xml:space="preserve">{{donor_id_code}}</w:t>
            </w:r>
          </w:p>
        </w:tc>
      </w:tr>
      <w:tr>
        <w:tc>
          <w:tcPr>
            <w:tcW w:type="pct" w:w="50%"/>
            <w:tcMar>
              <w:top w:type="dxa" w:w="80"/>
              <w:left w:type="dxa" w:w="120"/>
              <w:bottom w:type="dxa" w:w="80"/>
              <w:right w:type="dxa" w:w="120"/>
            </w:tcMar>
          </w:tcPr>
          <w:p>
            <w:pPr>
              <w:spacing w:after="40" w:before="40"/>
            </w:pPr>
            <w:r>
              <w:rPr>
                <w:b/>
                <w:bCs/>
                <w:sz w:val="22"/>
                <w:szCs w:val="22"/>
              </w:rPr>
              <w:t xml:space="preserve">Aadress</w:t>
            </w:r>
          </w:p>
        </w:tc>
        <w:tc>
          <w:tcPr>
            <w:tcW w:type="pct" w:w="50%"/>
            <w:tcMar>
              <w:top w:type="dxa" w:w="80"/>
              <w:left w:type="dxa" w:w="120"/>
              <w:bottom w:type="dxa" w:w="80"/>
              <w:right w:type="dxa" w:w="120"/>
            </w:tcMar>
          </w:tcPr>
          <w:p>
            <w:pPr>
              <w:spacing w:after="40" w:before="40"/>
            </w:pPr>
            <w:r>
              <w:rPr>
                <w:b w:val="false"/>
                <w:bCs w:val="false"/>
                <w:sz w:val="22"/>
                <w:szCs w:val="22"/>
              </w:rPr>
              <w:t xml:space="preserve">{{donor_address}}</w:t>
            </w:r>
          </w:p>
        </w:tc>
      </w:tr>
      <w:tr>
        <w:tc>
          <w:tcPr>
            <w:tcW w:type="pct" w:w="50%"/>
            <w:tcMar>
              <w:top w:type="dxa" w:w="80"/>
              <w:left w:type="dxa" w:w="120"/>
              <w:bottom w:type="dxa" w:w="80"/>
              <w:right w:type="dxa" w:w="120"/>
            </w:tcMar>
          </w:tcPr>
          <w:p>
            <w:pPr>
              <w:spacing w:after="40" w:before="40"/>
            </w:pPr>
            <w:r>
              <w:rPr>
                <w:b/>
                <w:bCs/>
                <w:sz w:val="22"/>
                <w:szCs w:val="22"/>
              </w:rPr>
              <w:t xml:space="preserve">Telefon / e-post</w:t>
            </w:r>
          </w:p>
        </w:tc>
        <w:tc>
          <w:tcPr>
            <w:tcW w:type="pct" w:w="50%"/>
            <w:tcMar>
              <w:top w:type="dxa" w:w="80"/>
              <w:left w:type="dxa" w:w="120"/>
              <w:bottom w:type="dxa" w:w="80"/>
              <w:right w:type="dxa" w:w="120"/>
            </w:tcMar>
          </w:tcPr>
          <w:p>
            <w:pPr>
              <w:spacing w:after="40" w:before="40"/>
            </w:pPr>
            <w:r>
              <w:rPr>
                <w:b w:val="false"/>
                <w:bCs w:val="false"/>
                <w:sz w:val="22"/>
                <w:szCs w:val="22"/>
              </w:rPr>
              <w:t xml:space="preserve">{{donor_phone}} / {{donor_email}}</w:t>
            </w:r>
          </w:p>
        </w:tc>
      </w:tr>
      <w:tr>
        <w:tc>
          <w:tcPr>
            <w:tcW w:type="pct" w:w="50%"/>
            <w:tcMar>
              <w:top w:type="dxa" w:w="80"/>
              <w:left w:type="dxa" w:w="120"/>
              <w:bottom w:type="dxa" w:w="80"/>
              <w:right w:type="dxa" w:w="120"/>
            </w:tcMar>
          </w:tcPr>
          <w:p>
            <w:pPr>
              <w:spacing w:after="40" w:before="40"/>
            </w:pPr>
            <w:r>
              <w:rPr>
                <w:b/>
                <w:bCs/>
                <w:sz w:val="22"/>
                <w:szCs w:val="22"/>
              </w:rPr>
              <w:t xml:space="preserve">Esindaja (juriidilise isiku puhul)</w:t>
            </w:r>
          </w:p>
        </w:tc>
        <w:tc>
          <w:tcPr>
            <w:tcW w:type="pct" w:w="50%"/>
            <w:tcMar>
              <w:top w:type="dxa" w:w="80"/>
              <w:left w:type="dxa" w:w="120"/>
              <w:bottom w:type="dxa" w:w="80"/>
              <w:right w:type="dxa" w:w="120"/>
            </w:tcMar>
          </w:tcPr>
          <w:p>
            <w:pPr>
              <w:spacing w:after="40" w:before="40"/>
            </w:pPr>
            <w:r>
              <w:rPr>
                <w:b w:val="false"/>
                <w:bCs w:val="false"/>
                <w:sz w:val="22"/>
                <w:szCs w:val="22"/>
              </w:rPr>
              <w:t xml:space="preserve">{{donor_representative_name}}</w:t>
            </w:r>
          </w:p>
        </w:tc>
      </w:tr>
    </w:tbl>
    <w:p>
      <w:pPr>
        <w:spacing w:after="120"/>
      </w:pPr>
      <w:r>
        <w:rPr>
          <w:sz w:val="22"/>
          <w:szCs w:val="22"/>
        </w:rPr>
        <w:t xml:space="preserve"/>
      </w:r>
    </w:p>
    <w:p>
      <w:pPr>
        <w:spacing w:after="160"/>
      </w:pPr>
      <w:r>
        <w:rPr>
          <w:b/>
          <w:bCs/>
          <w:sz w:val="22"/>
          <w:szCs w:val="22"/>
        </w:rPr>
        <w:t xml:space="preserve">Kingisaaja:</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tcMar>
              <w:top w:type="dxa" w:w="80"/>
              <w:left w:type="dxa" w:w="120"/>
              <w:bottom w:type="dxa" w:w="80"/>
              <w:right w:type="dxa" w:w="120"/>
            </w:tcMar>
          </w:tcPr>
          <w:p>
            <w:pPr>
              <w:spacing w:after="40" w:before="40"/>
            </w:pPr>
            <w:r>
              <w:rPr>
                <w:b/>
                <w:bCs/>
                <w:sz w:val="22"/>
                <w:szCs w:val="22"/>
              </w:rPr>
              <w:t xml:space="preserve">Nimi</w:t>
            </w:r>
          </w:p>
        </w:tc>
        <w:tc>
          <w:tcPr>
            <w:tcW w:type="pct" w:w="50%"/>
            <w:tcMar>
              <w:top w:type="dxa" w:w="80"/>
              <w:left w:type="dxa" w:w="120"/>
              <w:bottom w:type="dxa" w:w="80"/>
              <w:right w:type="dxa" w:w="120"/>
            </w:tcMar>
          </w:tcPr>
          <w:p>
            <w:pPr>
              <w:spacing w:after="40" w:before="40"/>
            </w:pPr>
            <w:r>
              <w:rPr>
                <w:b w:val="false"/>
                <w:bCs w:val="false"/>
                <w:sz w:val="22"/>
                <w:szCs w:val="22"/>
              </w:rPr>
              <w:t xml:space="preserve">{{donee_name}}</w:t>
            </w:r>
          </w:p>
        </w:tc>
      </w:tr>
      <w:tr>
        <w:tc>
          <w:tcPr>
            <w:tcW w:type="pct" w:w="50%"/>
            <w:tcMar>
              <w:top w:type="dxa" w:w="80"/>
              <w:left w:type="dxa" w:w="120"/>
              <w:bottom w:type="dxa" w:w="80"/>
              <w:right w:type="dxa" w:w="120"/>
            </w:tcMar>
          </w:tcPr>
          <w:p>
            <w:pPr>
              <w:spacing w:after="40" w:before="40"/>
            </w:pPr>
            <w:r>
              <w:rPr>
                <w:b/>
                <w:bCs/>
                <w:sz w:val="22"/>
                <w:szCs w:val="22"/>
              </w:rPr>
              <w:t xml:space="preserve">Isiku-/registrikood</w:t>
            </w:r>
          </w:p>
        </w:tc>
        <w:tc>
          <w:tcPr>
            <w:tcW w:type="pct" w:w="50%"/>
            <w:tcMar>
              <w:top w:type="dxa" w:w="80"/>
              <w:left w:type="dxa" w:w="120"/>
              <w:bottom w:type="dxa" w:w="80"/>
              <w:right w:type="dxa" w:w="120"/>
            </w:tcMar>
          </w:tcPr>
          <w:p>
            <w:pPr>
              <w:spacing w:after="40" w:before="40"/>
            </w:pPr>
            <w:r>
              <w:rPr>
                <w:b w:val="false"/>
                <w:bCs w:val="false"/>
                <w:sz w:val="22"/>
                <w:szCs w:val="22"/>
              </w:rPr>
              <w:t xml:space="preserve">{{donee_id_code}}</w:t>
            </w:r>
          </w:p>
        </w:tc>
      </w:tr>
      <w:tr>
        <w:tc>
          <w:tcPr>
            <w:tcW w:type="pct" w:w="50%"/>
            <w:tcMar>
              <w:top w:type="dxa" w:w="80"/>
              <w:left w:type="dxa" w:w="120"/>
              <w:bottom w:type="dxa" w:w="80"/>
              <w:right w:type="dxa" w:w="120"/>
            </w:tcMar>
          </w:tcPr>
          <w:p>
            <w:pPr>
              <w:spacing w:after="40" w:before="40"/>
            </w:pPr>
            <w:r>
              <w:rPr>
                <w:b/>
                <w:bCs/>
                <w:sz w:val="22"/>
                <w:szCs w:val="22"/>
              </w:rPr>
              <w:t xml:space="preserve">Aadress</w:t>
            </w:r>
          </w:p>
        </w:tc>
        <w:tc>
          <w:tcPr>
            <w:tcW w:type="pct" w:w="50%"/>
            <w:tcMar>
              <w:top w:type="dxa" w:w="80"/>
              <w:left w:type="dxa" w:w="120"/>
              <w:bottom w:type="dxa" w:w="80"/>
              <w:right w:type="dxa" w:w="120"/>
            </w:tcMar>
          </w:tcPr>
          <w:p>
            <w:pPr>
              <w:spacing w:after="40" w:before="40"/>
            </w:pPr>
            <w:r>
              <w:rPr>
                <w:b w:val="false"/>
                <w:bCs w:val="false"/>
                <w:sz w:val="22"/>
                <w:szCs w:val="22"/>
              </w:rPr>
              <w:t xml:space="preserve">{{donee_address}}</w:t>
            </w:r>
          </w:p>
        </w:tc>
      </w:tr>
      <w:tr>
        <w:tc>
          <w:tcPr>
            <w:tcW w:type="pct" w:w="50%"/>
            <w:tcMar>
              <w:top w:type="dxa" w:w="80"/>
              <w:left w:type="dxa" w:w="120"/>
              <w:bottom w:type="dxa" w:w="80"/>
              <w:right w:type="dxa" w:w="120"/>
            </w:tcMar>
          </w:tcPr>
          <w:p>
            <w:pPr>
              <w:spacing w:after="40" w:before="40"/>
            </w:pPr>
            <w:r>
              <w:rPr>
                <w:b/>
                <w:bCs/>
                <w:sz w:val="22"/>
                <w:szCs w:val="22"/>
              </w:rPr>
              <w:t xml:space="preserve">Telefon / e-post</w:t>
            </w:r>
          </w:p>
        </w:tc>
        <w:tc>
          <w:tcPr>
            <w:tcW w:type="pct" w:w="50%"/>
            <w:tcMar>
              <w:top w:type="dxa" w:w="80"/>
              <w:left w:type="dxa" w:w="120"/>
              <w:bottom w:type="dxa" w:w="80"/>
              <w:right w:type="dxa" w:w="120"/>
            </w:tcMar>
          </w:tcPr>
          <w:p>
            <w:pPr>
              <w:spacing w:after="40" w:before="40"/>
            </w:pPr>
            <w:r>
              <w:rPr>
                <w:b w:val="false"/>
                <w:bCs w:val="false"/>
                <w:sz w:val="22"/>
                <w:szCs w:val="22"/>
              </w:rPr>
              <w:t xml:space="preserve">{{donee_phone}} / {{donee_email}}</w:t>
            </w:r>
          </w:p>
        </w:tc>
      </w:tr>
      <w:tr>
        <w:tc>
          <w:tcPr>
            <w:tcW w:type="pct" w:w="50%"/>
            <w:tcMar>
              <w:top w:type="dxa" w:w="80"/>
              <w:left w:type="dxa" w:w="120"/>
              <w:bottom w:type="dxa" w:w="80"/>
              <w:right w:type="dxa" w:w="120"/>
            </w:tcMar>
          </w:tcPr>
          <w:p>
            <w:pPr>
              <w:spacing w:after="40" w:before="40"/>
            </w:pPr>
            <w:r>
              <w:rPr>
                <w:b/>
                <w:bCs/>
                <w:sz w:val="22"/>
                <w:szCs w:val="22"/>
              </w:rPr>
              <w:t xml:space="preserve">Esindaja (juriidilise isiku puhul)</w:t>
            </w:r>
          </w:p>
        </w:tc>
        <w:tc>
          <w:tcPr>
            <w:tcW w:type="pct" w:w="50%"/>
            <w:tcMar>
              <w:top w:type="dxa" w:w="80"/>
              <w:left w:type="dxa" w:w="120"/>
              <w:bottom w:type="dxa" w:w="80"/>
              <w:right w:type="dxa" w:w="120"/>
            </w:tcMar>
          </w:tcPr>
          <w:p>
            <w:pPr>
              <w:spacing w:after="40" w:before="40"/>
            </w:pPr>
            <w:r>
              <w:rPr>
                <w:b w:val="false"/>
                <w:bCs w:val="false"/>
                <w:sz w:val="22"/>
                <w:szCs w:val="22"/>
              </w:rPr>
              <w:t xml:space="preserve">{{donee_representative_name}}</w:t>
            </w:r>
          </w:p>
        </w:tc>
      </w:tr>
    </w:tbl>
    <w:p>
      <w:pPr>
        <w:spacing w:after="120"/>
      </w:pPr>
      <w:r>
        <w:rPr>
          <w:sz w:val="22"/>
          <w:szCs w:val="22"/>
        </w:rPr>
        <w:t xml:space="preserve"/>
      </w:r>
    </w:p>
    <w:p>
      <w:pPr>
        <w:spacing w:after="160"/>
      </w:pPr>
      <w:r>
        <w:rPr>
          <w:b w:val="false"/>
          <w:bCs w:val="false"/>
          <w:sz w:val="22"/>
          <w:szCs w:val="22"/>
        </w:rPr>
        <w:t xml:space="preserve">Kinkija ja Kingisaaja (edaspidi koos „Pooled" ja eraldi „Pool") sõlmivad käesoleva kinkelepingu (edaspidi „Leping") alljärgnevatel tingimustel. Lepingule kohaldatakse Võlaõigusseaduse (edaspidi „VÕS") 14. peatüki (§ 259–270) sätteid.</w:t>
      </w:r>
    </w:p>
    <w:p>
      <w:pPr>
        <w:pStyle w:val="Heading1"/>
        <w:spacing w:after="160" w:before="240"/>
      </w:pPr>
      <w:r>
        <w:rPr>
          <w:b/>
          <w:bCs/>
          <w:sz w:val="28"/>
          <w:szCs w:val="28"/>
        </w:rPr>
        <w:t xml:space="preserve">2. LEPINGU ESE</w:t>
      </w:r>
    </w:p>
    <w:p>
      <w:pPr>
        <w:spacing w:after="160"/>
      </w:pPr>
      <w:r>
        <w:rPr>
          <w:b w:val="false"/>
          <w:bCs w:val="false"/>
          <w:sz w:val="22"/>
          <w:szCs w:val="22"/>
        </w:rPr>
        <w:t xml:space="preserve">2.1. Käesoleva Lepingu alusel kingib Kinkija Kingisaajale ja kohustub Kingisaajale tasuta üle andma järgmise eseme (edaspidi „Kinkeese"):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tcMar>
              <w:top w:type="dxa" w:w="80"/>
              <w:left w:type="dxa" w:w="120"/>
              <w:bottom w:type="dxa" w:w="80"/>
              <w:right w:type="dxa" w:w="120"/>
            </w:tcMar>
          </w:tcPr>
          <w:p>
            <w:pPr>
              <w:spacing w:after="40" w:before="40"/>
            </w:pPr>
            <w:r>
              <w:rPr>
                <w:b/>
                <w:bCs/>
                <w:sz w:val="22"/>
                <w:szCs w:val="22"/>
              </w:rPr>
              <w:t xml:space="preserve">Kinkeeseme liik</w:t>
            </w:r>
          </w:p>
        </w:tc>
        <w:tc>
          <w:tcPr>
            <w:tcW w:type="pct" w:w="50%"/>
            <w:tcMar>
              <w:top w:type="dxa" w:w="80"/>
              <w:left w:type="dxa" w:w="120"/>
              <w:bottom w:type="dxa" w:w="80"/>
              <w:right w:type="dxa" w:w="120"/>
            </w:tcMar>
          </w:tcPr>
          <w:p>
            <w:pPr>
              <w:spacing w:after="40" w:before="40"/>
            </w:pPr>
            <w:r>
              <w:rPr>
                <w:b w:val="false"/>
                <w:bCs w:val="false"/>
                <w:sz w:val="22"/>
                <w:szCs w:val="22"/>
              </w:rPr>
              <w:t xml:space="preserve">{{gift_type}}</w:t>
            </w:r>
          </w:p>
        </w:tc>
      </w:tr>
      <w:tr>
        <w:tc>
          <w:tcPr>
            <w:tcW w:type="pct" w:w="50%"/>
            <w:tcMar>
              <w:top w:type="dxa" w:w="80"/>
              <w:left w:type="dxa" w:w="120"/>
              <w:bottom w:type="dxa" w:w="80"/>
              <w:right w:type="dxa" w:w="120"/>
            </w:tcMar>
          </w:tcPr>
          <w:p>
            <w:pPr>
              <w:spacing w:after="40" w:before="40"/>
            </w:pPr>
            <w:r>
              <w:rPr>
                <w:b/>
                <w:bCs/>
                <w:sz w:val="22"/>
                <w:szCs w:val="22"/>
              </w:rPr>
              <w:t xml:space="preserve">Kirjeldus</w:t>
            </w:r>
          </w:p>
        </w:tc>
        <w:tc>
          <w:tcPr>
            <w:tcW w:type="pct" w:w="50%"/>
            <w:tcMar>
              <w:top w:type="dxa" w:w="80"/>
              <w:left w:type="dxa" w:w="120"/>
              <w:bottom w:type="dxa" w:w="80"/>
              <w:right w:type="dxa" w:w="120"/>
            </w:tcMar>
          </w:tcPr>
          <w:p>
            <w:pPr>
              <w:spacing w:after="40" w:before="40"/>
            </w:pPr>
            <w:r>
              <w:rPr>
                <w:b w:val="false"/>
                <w:bCs w:val="false"/>
                <w:sz w:val="22"/>
                <w:szCs w:val="22"/>
              </w:rPr>
              <w:t xml:space="preserve">{{gift_description}}</w:t>
            </w:r>
          </w:p>
        </w:tc>
      </w:tr>
      <w:tr>
        <w:tc>
          <w:tcPr>
            <w:tcW w:type="pct" w:w="50%"/>
            <w:tcMar>
              <w:top w:type="dxa" w:w="80"/>
              <w:left w:type="dxa" w:w="120"/>
              <w:bottom w:type="dxa" w:w="80"/>
              <w:right w:type="dxa" w:w="120"/>
            </w:tcMar>
          </w:tcPr>
          <w:p>
            <w:pPr>
              <w:spacing w:after="40" w:before="40"/>
            </w:pPr>
            <w:r>
              <w:rPr>
                <w:b/>
                <w:bCs/>
                <w:sz w:val="22"/>
                <w:szCs w:val="22"/>
              </w:rPr>
              <w:t xml:space="preserve">Väärtus / rahasumma</w:t>
            </w:r>
          </w:p>
        </w:tc>
        <w:tc>
          <w:tcPr>
            <w:tcW w:type="pct" w:w="50%"/>
            <w:tcMar>
              <w:top w:type="dxa" w:w="80"/>
              <w:left w:type="dxa" w:w="120"/>
              <w:bottom w:type="dxa" w:w="80"/>
              <w:right w:type="dxa" w:w="120"/>
            </w:tcMar>
          </w:tcPr>
          <w:p>
            <w:pPr>
              <w:spacing w:after="40" w:before="40"/>
            </w:pPr>
            <w:r>
              <w:rPr>
                <w:b w:val="false"/>
                <w:bCs w:val="false"/>
                <w:sz w:val="22"/>
                <w:szCs w:val="22"/>
              </w:rPr>
              <w:t xml:space="preserve">{{gift_value_eur}} EUR ({{gift_value_words}})</w:t>
            </w:r>
          </w:p>
        </w:tc>
      </w:tr>
    </w:tbl>
    <w:p>
      <w:pPr>
        <w:spacing w:after="120"/>
      </w:pPr>
      <w:r>
        <w:rPr>
          <w:sz w:val="22"/>
          <w:szCs w:val="22"/>
        </w:rPr>
        <w:t xml:space="preserve"/>
      </w:r>
    </w:p>
    <w:p>
      <w:pPr>
        <w:spacing w:after="160"/>
      </w:pPr>
      <w:r>
        <w:rPr>
          <w:b w:val="false"/>
          <w:bCs w:val="false"/>
          <w:sz w:val="22"/>
          <w:szCs w:val="22"/>
        </w:rPr>
        <w:t xml:space="preserve">2.2. Kinkija kinnitab, et Kinkeese antakse Kingisaajale üle </w:t>
      </w:r>
      <w:r>
        <w:rPr>
          <w:b/>
          <w:bCs/>
          <w:sz w:val="22"/>
          <w:szCs w:val="22"/>
        </w:rPr>
        <w:t xml:space="preserve">tasuta</w:t>
      </w:r>
      <w:r>
        <w:rPr>
          <w:b w:val="false"/>
          <w:bCs w:val="false"/>
          <w:sz w:val="22"/>
          <w:szCs w:val="22"/>
        </w:rPr>
        <w:t xml:space="preserve"> ning Kingisaajal ei ole Lepingust tulenevat vastusoorituskohustust (VÕS § 259 lõige 1).</w:t>
      </w:r>
    </w:p>
    <w:p>
      <w:pPr>
        <w:spacing w:after="160"/>
      </w:pPr>
      <w:r>
        <w:rPr>
          <w:b w:val="false"/>
          <w:bCs w:val="false"/>
          <w:sz w:val="22"/>
          <w:szCs w:val="22"/>
        </w:rPr>
        <w:t xml:space="preserve">2.3. Kingisaaja kinnitab, et ta on Kinkeesemega tutvunud ja </w:t>
      </w:r>
      <w:r>
        <w:rPr>
          <w:b/>
          <w:bCs/>
          <w:sz w:val="22"/>
          <w:szCs w:val="22"/>
        </w:rPr>
        <w:t xml:space="preserve">võtab kinke vastu</w:t>
      </w:r>
      <w:r>
        <w:rPr>
          <w:b w:val="false"/>
          <w:bCs w:val="false"/>
          <w:sz w:val="22"/>
          <w:szCs w:val="22"/>
        </w:rPr>
        <w:t xml:space="preserve">.</w:t>
      </w:r>
    </w:p>
    <w:p>
      <w:pPr>
        <w:spacing w:after="160"/>
      </w:pPr>
      <w:r>
        <w:rPr>
          <w:b w:val="false"/>
          <w:bCs w:val="false"/>
          <w:sz w:val="22"/>
          <w:szCs w:val="22"/>
        </w:rPr>
        <w:t xml:space="preserve">2.4. Pooled võivad kokku leppida Kinkeeseme kasutamise sihtotstarbe või Kingisaaja koormise (VÕS § 265): </w:t>
      </w:r>
      <w:r>
        <w:rPr>
          <w:b/>
          <w:bCs/>
          <w:sz w:val="22"/>
          <w:szCs w:val="22"/>
        </w:rPr>
        <w:t xml:space="preserve">{{gift_purpose}}</w:t>
      </w:r>
      <w:r>
        <w:rPr>
          <w:b w:val="false"/>
          <w:bCs w:val="false"/>
          <w:sz w:val="22"/>
          <w:szCs w:val="22"/>
        </w:rPr>
        <w:t xml:space="preserve">. Kui sihtotstarvet või koormist ei ole määratud, märgitakse väljale „ei kohaldu". Koormise õigustamatu täitmata jätmine annab Kinkijale õiguse Lepingust taganeda (VÕS § 267 punkt 3, § 268).</w:t>
      </w:r>
    </w:p>
    <w:p>
      <w:pPr>
        <w:pStyle w:val="Heading1"/>
        <w:spacing w:after="160" w:before="240"/>
      </w:pPr>
      <w:r>
        <w:rPr>
          <w:b/>
          <w:bCs/>
          <w:sz w:val="28"/>
          <w:szCs w:val="28"/>
        </w:rPr>
        <w:t xml:space="preserve">3. ÜLEANDMINE JA OMANDI ÜLEMINEK</w:t>
      </w:r>
    </w:p>
    <w:p>
      <w:pPr>
        <w:spacing w:after="160"/>
      </w:pPr>
      <w:r>
        <w:rPr>
          <w:b w:val="false"/>
          <w:bCs w:val="false"/>
          <w:sz w:val="22"/>
          <w:szCs w:val="22"/>
        </w:rPr>
        <w:t xml:space="preserve">3.1. Kinkija annab Kinkeeseme Kingisaajale üle hiljemalt </w:t>
      </w:r>
      <w:r>
        <w:rPr>
          <w:b/>
          <w:bCs/>
          <w:sz w:val="22"/>
          <w:szCs w:val="22"/>
        </w:rPr>
        <w:t xml:space="preserve">{{transfer_date}}</w:t>
      </w:r>
      <w:r>
        <w:rPr>
          <w:b w:val="false"/>
          <w:bCs w:val="false"/>
          <w:sz w:val="22"/>
          <w:szCs w:val="22"/>
        </w:rPr>
        <w:t xml:space="preserve"> järgmisel viisil: </w:t>
      </w:r>
      <w:r>
        <w:rPr>
          <w:b/>
          <w:bCs/>
          <w:sz w:val="22"/>
          <w:szCs w:val="22"/>
        </w:rPr>
        <w:t xml:space="preserve">{{transfer_method}}</w:t>
      </w:r>
      <w:r>
        <w:rPr>
          <w:b w:val="false"/>
          <w:bCs w:val="false"/>
          <w:sz w:val="22"/>
          <w:szCs w:val="22"/>
        </w:rPr>
        <w:t xml:space="preserve">.</w:t>
      </w:r>
    </w:p>
    <w:p>
      <w:pPr>
        <w:spacing w:after="160"/>
      </w:pPr>
      <w:r>
        <w:rPr>
          <w:b w:val="false"/>
          <w:bCs w:val="false"/>
          <w:sz w:val="22"/>
          <w:szCs w:val="22"/>
        </w:rPr>
        <w:t xml:space="preserve">3.2. Rahasumma kinkimisel kannab Kinkija raha Kingisaaja pangakontole </w:t>
      </w:r>
      <w:r>
        <w:rPr>
          <w:b/>
          <w:bCs/>
          <w:sz w:val="22"/>
          <w:szCs w:val="22"/>
        </w:rPr>
        <w:t xml:space="preserve">{{donee_bank_account}}</w:t>
      </w:r>
      <w:r>
        <w:rPr>
          <w:b w:val="false"/>
          <w:bCs w:val="false"/>
          <w:sz w:val="22"/>
          <w:szCs w:val="22"/>
        </w:rPr>
        <w:t xml:space="preserve">. Maksekorralduse selgituses märgib Kinkija viite käesolevale Lepingule (Lepingu number ja kuupäev).</w:t>
      </w:r>
    </w:p>
    <w:p>
      <w:pPr>
        <w:spacing w:after="160"/>
      </w:pPr>
      <w:r>
        <w:rPr>
          <w:b w:val="false"/>
          <w:bCs w:val="false"/>
          <w:sz w:val="22"/>
          <w:szCs w:val="22"/>
        </w:rPr>
        <w:t xml:space="preserve">3.3. Omandiõigus Kinkeesemele läheb Kingisaajale üle vallasasja valduse üleandmisega (Asjaõigusseaduse § 92) või rahasumma laekumisega Kingisaaja pangakontole.</w:t>
      </w:r>
    </w:p>
    <w:p>
      <w:pPr>
        <w:spacing w:after="160"/>
      </w:pPr>
      <w:r>
        <w:rPr>
          <w:b w:val="false"/>
          <w:bCs w:val="false"/>
          <w:sz w:val="22"/>
          <w:szCs w:val="22"/>
        </w:rPr>
        <w:t xml:space="preserve">3.4. Kuni üleandmiseni hoiab Kinkija Kinkeeset korraliku hoolsusega. Pooled on teadlikud, et VÕS § 264 kohaselt vastutab Kinkija Lepingu rikkumisega tekitatud kahju eest üksnes tahtluse või raske hooletuse korral ning Kinkija ei maksa raha üleandmisega viivitamise korral viivist (VÕS § 264 lõige 5).</w:t>
      </w:r>
    </w:p>
    <w:p>
      <w:pPr>
        <w:pStyle w:val="Heading1"/>
        <w:spacing w:after="160" w:before="240"/>
      </w:pPr>
      <w:r>
        <w:rPr>
          <w:b/>
          <w:bCs/>
          <w:sz w:val="28"/>
          <w:szCs w:val="28"/>
        </w:rPr>
        <w:t xml:space="preserve">4. KINKIJA KINNITUSED</w:t>
      </w:r>
    </w:p>
    <w:p>
      <w:pPr>
        <w:spacing w:after="160"/>
      </w:pPr>
      <w:r>
        <w:rPr>
          <w:b w:val="false"/>
          <w:bCs w:val="false"/>
          <w:sz w:val="22"/>
          <w:szCs w:val="22"/>
        </w:rPr>
        <w:t xml:space="preserve">4.1. Kinkija kinnitab, et Kinkeese kuulub talle ainuomandina ning tal on õigus Kinkeeset käsutada.</w:t>
      </w:r>
    </w:p>
    <w:p>
      <w:pPr>
        <w:spacing w:after="160"/>
      </w:pPr>
      <w:r>
        <w:rPr>
          <w:b w:val="false"/>
          <w:bCs w:val="false"/>
          <w:sz w:val="22"/>
          <w:szCs w:val="22"/>
        </w:rPr>
        <w:t xml:space="preserve">4.2. Kinkija kinnitab, et Kinkeese ei ole panditud, arestitud ega koormatud kolmandate isikute õigustega ning selle suhtes ei ole käimas kohtu- ega täitemenetlust.</w:t>
      </w:r>
    </w:p>
    <w:p>
      <w:pPr>
        <w:spacing w:after="160"/>
      </w:pPr>
      <w:r>
        <w:rPr>
          <w:b w:val="false"/>
          <w:bCs w:val="false"/>
          <w:sz w:val="22"/>
          <w:szCs w:val="22"/>
        </w:rPr>
        <w:t xml:space="preserve">4.3. Kinkija kinnitab, et talle teadaolevalt ei ole Kinkeesemel varjatud puudusi. Pooled on teadlikud, et Kinkija ei vastuta Kinkeeseme puuduste eest, mida ta ei ole Kingisaaja eest tahtlikult varjanud (VÕS § 264).</w:t>
      </w:r>
    </w:p>
    <w:p>
      <w:pPr>
        <w:spacing w:after="160"/>
      </w:pPr>
      <w:r>
        <w:rPr>
          <w:b w:val="false"/>
          <w:bCs w:val="false"/>
          <w:sz w:val="22"/>
          <w:szCs w:val="22"/>
        </w:rPr>
        <w:t xml:space="preserve">4.4. Kinkija kinnitab, et ta on maksejõuline ning Kinkeeseme kinkimine ei kahjusta tema võlausaldajate huve. Pooled on teadlikud, et pankrotimenetluses võib kohus tagasi võita kinkelepingu, mis on sõlmitud ühe aasta jooksul enne ajutise halduri nimetamist, lähikondsele tehtud kinke puhul kuni viie aasta jooksul (Pankrotiseaduse § 111).</w:t>
      </w:r>
    </w:p>
    <w:p>
      <w:pPr>
        <w:spacing w:after="160"/>
      </w:pPr>
      <w:r>
        <w:rPr>
          <w:b w:val="false"/>
          <w:bCs w:val="false"/>
          <w:sz w:val="22"/>
          <w:szCs w:val="22"/>
        </w:rPr>
        <w:t xml:space="preserve">4.5. Kinkija kinnitab, et Kinkeese ei kuulu abikaasade ühisvara hulka või et tema abikaasa on andnud kinkimiseks nõusoleku vastavalt punktile 6.2.</w:t>
      </w:r>
    </w:p>
    <w:p>
      <w:pPr>
        <w:pStyle w:val="Heading1"/>
        <w:spacing w:after="160" w:before="240"/>
      </w:pPr>
      <w:r>
        <w:rPr>
          <w:b/>
          <w:bCs/>
          <w:sz w:val="28"/>
          <w:szCs w:val="28"/>
        </w:rPr>
        <w:t xml:space="preserve">5. LEPINGUST TAGANEMINE</w:t>
      </w:r>
    </w:p>
    <w:p>
      <w:pPr>
        <w:spacing w:after="160"/>
      </w:pPr>
      <w:r>
        <w:rPr>
          <w:b w:val="false"/>
          <w:bCs w:val="false"/>
          <w:sz w:val="22"/>
          <w:szCs w:val="22"/>
        </w:rPr>
        <w:t xml:space="preserve">5.1. Kinkija võib enne Lepingu täitmist Lepingu täitmisest keelduda ja Lepingust taganeda VÕS §-s 267 sätestatud alustel, sealhulgas kui Kingisaaja on oma käitumisega näidanud Kinkija või tema lähedase inimese vastu üles jämedat tänamatust või kui Kinkija ei ole Lepingu täitmise korral võimeline täitma seadusest tulenevat ülalpidamiskohustust või ennast mõistlikult ülal pidama.</w:t>
      </w:r>
    </w:p>
    <w:p>
      <w:pPr>
        <w:spacing w:after="160"/>
      </w:pPr>
      <w:r>
        <w:rPr>
          <w:b w:val="false"/>
          <w:bCs w:val="false"/>
          <w:sz w:val="22"/>
          <w:szCs w:val="22"/>
        </w:rPr>
        <w:t xml:space="preserve">5.2. Pärast Lepingu täitmist võib Kinkija Lepingust taganeda ja Kinkeeseme alusetu rikastumise sätete järgi välja nõuda üksnes VÕS § 267 punktides 1–3 nimetatud juhtudel: Kingisaaja jäme tänamatus, Kinkija toimetulekuvõime kaotus või koormise õigustamatu täitmata jätmine (VÕS § 268).</w:t>
      </w:r>
    </w:p>
    <w:p>
      <w:pPr>
        <w:spacing w:after="160"/>
      </w:pPr>
      <w:r>
        <w:rPr>
          <w:b w:val="false"/>
          <w:bCs w:val="false"/>
          <w:sz w:val="22"/>
          <w:szCs w:val="22"/>
        </w:rPr>
        <w:t xml:space="preserve">5.3. Kinkija võib Lepingust taganeda ühe aasta jooksul ajast, mil ta sai teada või pidi teada saama oma taganemisõiguse tekkimisest (VÕS § 270). Täidetud Lepingust ei või taganeda pärast Kingisaaja surma.</w:t>
      </w:r>
    </w:p>
    <w:p>
      <w:pPr>
        <w:spacing w:after="160"/>
      </w:pPr>
      <w:r>
        <w:rPr>
          <w:b w:val="false"/>
          <w:bCs w:val="false"/>
          <w:sz w:val="22"/>
          <w:szCs w:val="22"/>
        </w:rPr>
        <w:t xml:space="preserve">5.4. Taganemise korral ei ole Kingisaajal õigust nõuda taganemisega tekitatud kahju hüvitamist (VÕS § 269).</w:t>
      </w:r>
    </w:p>
    <w:p>
      <w:pPr>
        <w:pStyle w:val="Heading1"/>
        <w:spacing w:after="160" w:before="240"/>
      </w:pPr>
      <w:r>
        <w:rPr>
          <w:b/>
          <w:bCs/>
          <w:sz w:val="28"/>
          <w:szCs w:val="28"/>
        </w:rPr>
        <w:t xml:space="preserve">6. ERITINGIMUSED</w:t>
      </w:r>
    </w:p>
    <w:p>
      <w:pPr>
        <w:pStyle w:val="Heading2"/>
        <w:spacing w:after="120" w:before="180"/>
      </w:pPr>
      <w:r>
        <w:rPr>
          <w:b/>
          <w:bCs/>
          <w:sz w:val="24"/>
          <w:szCs w:val="24"/>
        </w:rPr>
        <w:t xml:space="preserve">6.1. Sõiduki erisätted</w:t>
      </w:r>
    </w:p>
    <w:p>
      <w:pPr>
        <w:spacing w:after="160"/>
      </w:pPr>
      <w:r>
        <w:rPr>
          <w:b w:val="false"/>
          <w:bCs w:val="false"/>
          <w:sz w:val="22"/>
          <w:szCs w:val="22"/>
        </w:rPr>
        <w:t xml:space="preserve">Käesolev punkt 6.1 kohaldub, kui Kinkeese on mootorsõiduk.</w:t>
      </w:r>
    </w:p>
    <w:p>
      <w:pPr>
        <w:spacing w:after="160"/>
      </w:pPr>
      <w:r>
        <w:rPr>
          <w:b w:val="false"/>
          <w:bCs w:val="false"/>
          <w:sz w:val="22"/>
          <w:szCs w:val="22"/>
        </w:rPr>
        <w:t xml:space="preserve">6.1.1. Sõiduki andmed:</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tcMar>
              <w:top w:type="dxa" w:w="80"/>
              <w:left w:type="dxa" w:w="120"/>
              <w:bottom w:type="dxa" w:w="80"/>
              <w:right w:type="dxa" w:w="120"/>
            </w:tcMar>
          </w:tcPr>
          <w:p>
            <w:pPr>
              <w:spacing w:after="40" w:before="40"/>
            </w:pPr>
            <w:r>
              <w:rPr>
                <w:b/>
                <w:bCs/>
                <w:sz w:val="22"/>
                <w:szCs w:val="22"/>
              </w:rPr>
              <w:t xml:space="preserve">Mark ja mudel</w:t>
            </w:r>
          </w:p>
        </w:tc>
        <w:tc>
          <w:tcPr>
            <w:tcW w:type="pct" w:w="50%"/>
            <w:tcMar>
              <w:top w:type="dxa" w:w="80"/>
              <w:left w:type="dxa" w:w="120"/>
              <w:bottom w:type="dxa" w:w="80"/>
              <w:right w:type="dxa" w:w="120"/>
            </w:tcMar>
          </w:tcPr>
          <w:p>
            <w:pPr>
              <w:spacing w:after="40" w:before="40"/>
            </w:pPr>
            <w:r>
              <w:rPr>
                <w:b w:val="false"/>
                <w:bCs w:val="false"/>
                <w:sz w:val="22"/>
                <w:szCs w:val="22"/>
              </w:rPr>
              <w:t xml:space="preserve">{{vehicle_make_model}}</w:t>
            </w:r>
          </w:p>
        </w:tc>
      </w:tr>
      <w:tr>
        <w:tc>
          <w:tcPr>
            <w:tcW w:type="pct" w:w="50%"/>
            <w:tcMar>
              <w:top w:type="dxa" w:w="80"/>
              <w:left w:type="dxa" w:w="120"/>
              <w:bottom w:type="dxa" w:w="80"/>
              <w:right w:type="dxa" w:w="120"/>
            </w:tcMar>
          </w:tcPr>
          <w:p>
            <w:pPr>
              <w:spacing w:after="40" w:before="40"/>
            </w:pPr>
            <w:r>
              <w:rPr>
                <w:b/>
                <w:bCs/>
                <w:sz w:val="22"/>
                <w:szCs w:val="22"/>
              </w:rPr>
              <w:t xml:space="preserve">Registreerimismärk</w:t>
            </w:r>
          </w:p>
        </w:tc>
        <w:tc>
          <w:tcPr>
            <w:tcW w:type="pct" w:w="50%"/>
            <w:tcMar>
              <w:top w:type="dxa" w:w="80"/>
              <w:left w:type="dxa" w:w="120"/>
              <w:bottom w:type="dxa" w:w="80"/>
              <w:right w:type="dxa" w:w="120"/>
            </w:tcMar>
          </w:tcPr>
          <w:p>
            <w:pPr>
              <w:spacing w:after="40" w:before="40"/>
            </w:pPr>
            <w:r>
              <w:rPr>
                <w:b w:val="false"/>
                <w:bCs w:val="false"/>
                <w:sz w:val="22"/>
                <w:szCs w:val="22"/>
              </w:rPr>
              <w:t xml:space="preserve">{{vehicle_reg_number}}</w:t>
            </w:r>
          </w:p>
        </w:tc>
      </w:tr>
      <w:tr>
        <w:tc>
          <w:tcPr>
            <w:tcW w:type="pct" w:w="50%"/>
            <w:tcMar>
              <w:top w:type="dxa" w:w="80"/>
              <w:left w:type="dxa" w:w="120"/>
              <w:bottom w:type="dxa" w:w="80"/>
              <w:right w:type="dxa" w:w="120"/>
            </w:tcMar>
          </w:tcPr>
          <w:p>
            <w:pPr>
              <w:spacing w:after="40" w:before="40"/>
            </w:pPr>
            <w:r>
              <w:rPr>
                <w:b/>
                <w:bCs/>
                <w:sz w:val="22"/>
                <w:szCs w:val="22"/>
              </w:rPr>
              <w:t xml:space="preserve">VIN-kood</w:t>
            </w:r>
          </w:p>
        </w:tc>
        <w:tc>
          <w:tcPr>
            <w:tcW w:type="pct" w:w="50%"/>
            <w:tcMar>
              <w:top w:type="dxa" w:w="80"/>
              <w:left w:type="dxa" w:w="120"/>
              <w:bottom w:type="dxa" w:w="80"/>
              <w:right w:type="dxa" w:w="120"/>
            </w:tcMar>
          </w:tcPr>
          <w:p>
            <w:pPr>
              <w:spacing w:after="40" w:before="40"/>
            </w:pPr>
            <w:r>
              <w:rPr>
                <w:b w:val="false"/>
                <w:bCs w:val="false"/>
                <w:sz w:val="22"/>
                <w:szCs w:val="22"/>
              </w:rPr>
              <w:t xml:space="preserve">{{vehicle_vin}}</w:t>
            </w:r>
          </w:p>
        </w:tc>
      </w:tr>
      <w:tr>
        <w:tc>
          <w:tcPr>
            <w:tcW w:type="pct" w:w="50%"/>
            <w:tcMar>
              <w:top w:type="dxa" w:w="80"/>
              <w:left w:type="dxa" w:w="120"/>
              <w:bottom w:type="dxa" w:w="80"/>
              <w:right w:type="dxa" w:w="120"/>
            </w:tcMar>
          </w:tcPr>
          <w:p>
            <w:pPr>
              <w:spacing w:after="40" w:before="40"/>
            </w:pPr>
            <w:r>
              <w:rPr>
                <w:b/>
                <w:bCs/>
                <w:sz w:val="22"/>
                <w:szCs w:val="22"/>
              </w:rPr>
              <w:t xml:space="preserve">Esmase registreerimise aasta</w:t>
            </w:r>
          </w:p>
        </w:tc>
        <w:tc>
          <w:tcPr>
            <w:tcW w:type="pct" w:w="50%"/>
            <w:tcMar>
              <w:top w:type="dxa" w:w="80"/>
              <w:left w:type="dxa" w:w="120"/>
              <w:bottom w:type="dxa" w:w="80"/>
              <w:right w:type="dxa" w:w="120"/>
            </w:tcMar>
          </w:tcPr>
          <w:p>
            <w:pPr>
              <w:spacing w:after="40" w:before="40"/>
            </w:pPr>
            <w:r>
              <w:rPr>
                <w:b w:val="false"/>
                <w:bCs w:val="false"/>
                <w:sz w:val="22"/>
                <w:szCs w:val="22"/>
              </w:rPr>
              <w:t xml:space="preserve">{{vehicle_year}}</w:t>
            </w:r>
          </w:p>
        </w:tc>
      </w:tr>
      <w:tr>
        <w:tc>
          <w:tcPr>
            <w:tcW w:type="pct" w:w="50%"/>
            <w:tcMar>
              <w:top w:type="dxa" w:w="80"/>
              <w:left w:type="dxa" w:w="120"/>
              <w:bottom w:type="dxa" w:w="80"/>
              <w:right w:type="dxa" w:w="120"/>
            </w:tcMar>
          </w:tcPr>
          <w:p>
            <w:pPr>
              <w:spacing w:after="40" w:before="40"/>
            </w:pPr>
            <w:r>
              <w:rPr>
                <w:b/>
                <w:bCs/>
                <w:sz w:val="22"/>
                <w:szCs w:val="22"/>
              </w:rPr>
              <w:t xml:space="preserve">Läbisõit (km)</w:t>
            </w:r>
          </w:p>
        </w:tc>
        <w:tc>
          <w:tcPr>
            <w:tcW w:type="pct" w:w="50%"/>
            <w:tcMar>
              <w:top w:type="dxa" w:w="80"/>
              <w:left w:type="dxa" w:w="120"/>
              <w:bottom w:type="dxa" w:w="80"/>
              <w:right w:type="dxa" w:w="120"/>
            </w:tcMar>
          </w:tcPr>
          <w:p>
            <w:pPr>
              <w:spacing w:after="40" w:before="40"/>
            </w:pPr>
            <w:r>
              <w:rPr>
                <w:b w:val="false"/>
                <w:bCs w:val="false"/>
                <w:sz w:val="22"/>
                <w:szCs w:val="22"/>
              </w:rPr>
              <w:t xml:space="preserve">{{vehicle_mileage}}</w:t>
            </w:r>
          </w:p>
        </w:tc>
      </w:tr>
    </w:tbl>
    <w:p>
      <w:pPr>
        <w:spacing w:after="120"/>
      </w:pPr>
      <w:r>
        <w:rPr>
          <w:sz w:val="22"/>
          <w:szCs w:val="22"/>
        </w:rPr>
        <w:t xml:space="preserve"/>
      </w:r>
    </w:p>
    <w:p>
      <w:pPr>
        <w:spacing w:after="160"/>
      </w:pPr>
      <w:r>
        <w:rPr>
          <w:b w:val="false"/>
          <w:bCs w:val="false"/>
          <w:sz w:val="22"/>
          <w:szCs w:val="22"/>
        </w:rPr>
        <w:t xml:space="preserve">6.1.2. Kingisaaja kohustub vormistama sõiduki omanikuvahetuse Transpordiameti liiklusregistris hiljemalt </w:t>
      </w:r>
      <w:r>
        <w:rPr>
          <w:b/>
          <w:bCs/>
          <w:sz w:val="22"/>
          <w:szCs w:val="22"/>
        </w:rPr>
        <w:t xml:space="preserve">{{reregistration_deadline}}</w:t>
      </w:r>
      <w:r>
        <w:rPr>
          <w:b w:val="false"/>
          <w:bCs w:val="false"/>
          <w:sz w:val="22"/>
          <w:szCs w:val="22"/>
        </w:rPr>
        <w:t xml:space="preserve">. Omanikuvahetuse riigilõivu ja võimaliku mootorsõiduki registreerimistasu kannab </w:t>
      </w:r>
      <w:r>
        <w:rPr>
          <w:b/>
          <w:bCs/>
          <w:sz w:val="22"/>
          <w:szCs w:val="22"/>
        </w:rPr>
        <w:t xml:space="preserve">{{reregistration_costs_payer}}</w:t>
      </w:r>
      <w:r>
        <w:rPr>
          <w:b w:val="false"/>
          <w:bCs w:val="false"/>
          <w:sz w:val="22"/>
          <w:szCs w:val="22"/>
        </w:rPr>
        <w:t xml:space="preserve">.</w:t>
      </w:r>
    </w:p>
    <w:p>
      <w:pPr>
        <w:spacing w:after="160"/>
      </w:pPr>
      <w:r>
        <w:rPr>
          <w:b w:val="false"/>
          <w:bCs w:val="false"/>
          <w:sz w:val="22"/>
          <w:szCs w:val="22"/>
        </w:rPr>
        <w:t xml:space="preserve">6.1.3. Pooled on teadlikud, et kuni omanikuvahetuse registreerimiseni loetakse liiklusregistri andmetes sõiduki omanikuks Kinkija ning sõidukiga seotud maksud, trahvid ja kohustused võivad jääda Kinkija kanda. Kinkijal on õigus pärast punktis 6.1.2 nimetatud tähtaja möödumist taotleda registriandmete muutmist ühepoolselt.</w:t>
      </w:r>
    </w:p>
    <w:p>
      <w:pPr>
        <w:pStyle w:val="Heading2"/>
        <w:spacing w:after="120" w:before="180"/>
      </w:pPr>
      <w:r>
        <w:rPr>
          <w:b/>
          <w:bCs/>
          <w:sz w:val="24"/>
          <w:szCs w:val="24"/>
        </w:rPr>
        <w:t xml:space="preserve">6.2. Abikaasa nõusolek</w:t>
      </w:r>
    </w:p>
    <w:p>
      <w:pPr>
        <w:spacing w:after="160"/>
      </w:pPr>
      <w:r>
        <w:rPr>
          <w:b w:val="false"/>
          <w:bCs w:val="false"/>
          <w:sz w:val="22"/>
          <w:szCs w:val="22"/>
        </w:rPr>
        <w:t xml:space="preserve">Käesolev punkt 6.2 kohaldub, kui Kinkeese kuulub abikaasade ühisvara hulka.</w:t>
      </w:r>
    </w:p>
    <w:p>
      <w:pPr>
        <w:spacing w:after="160"/>
      </w:pPr>
      <w:r>
        <w:rPr>
          <w:b w:val="false"/>
          <w:bCs w:val="false"/>
          <w:sz w:val="22"/>
          <w:szCs w:val="22"/>
        </w:rPr>
        <w:t xml:space="preserve">6.2.1. Kinkija abikaasa </w:t>
      </w:r>
      <w:r>
        <w:rPr>
          <w:b/>
          <w:bCs/>
          <w:sz w:val="22"/>
          <w:szCs w:val="22"/>
        </w:rPr>
        <w:t xml:space="preserve">{{donor_spouse_name}}</w:t>
      </w:r>
      <w:r>
        <w:rPr>
          <w:b w:val="false"/>
          <w:bCs w:val="false"/>
          <w:sz w:val="22"/>
          <w:szCs w:val="22"/>
        </w:rPr>
        <w:t xml:space="preserve"> (isikukood {{donor_spouse_id_code}}) annab nõusoleku Kinkeeseme kinkimiseks käesolevas Lepingus sätestatud tingimustel ja kinnitab seda Lepingu allkirjastamisega.</w:t>
      </w:r>
    </w:p>
    <w:p>
      <w:pPr>
        <w:pStyle w:val="Heading2"/>
        <w:spacing w:after="120" w:before="180"/>
      </w:pPr>
      <w:r>
        <w:rPr>
          <w:b/>
          <w:bCs/>
          <w:sz w:val="24"/>
          <w:szCs w:val="24"/>
        </w:rPr>
        <w:t xml:space="preserve">6.3. Vorminõuete teadvustamine</w:t>
      </w:r>
    </w:p>
    <w:p>
      <w:pPr>
        <w:spacing w:after="160"/>
      </w:pPr>
      <w:r>
        <w:rPr>
          <w:b w:val="false"/>
          <w:bCs w:val="false"/>
          <w:sz w:val="22"/>
          <w:szCs w:val="22"/>
        </w:rPr>
        <w:t xml:space="preserve">6.3.1. Pooled kinnitavad, et nad on teadlikud, et </w:t>
      </w:r>
      <w:r>
        <w:rPr>
          <w:b/>
          <w:bCs/>
          <w:sz w:val="22"/>
          <w:szCs w:val="22"/>
        </w:rPr>
        <w:t xml:space="preserve">kinnisasja</w:t>
      </w:r>
      <w:r>
        <w:rPr>
          <w:b w:val="false"/>
          <w:bCs w:val="false"/>
          <w:sz w:val="22"/>
          <w:szCs w:val="22"/>
        </w:rPr>
        <w:t xml:space="preserve"> (maa, korteri, maja) kinkeleping peab olema </w:t>
      </w:r>
      <w:r>
        <w:rPr>
          <w:b/>
          <w:bCs/>
          <w:sz w:val="22"/>
          <w:szCs w:val="22"/>
        </w:rPr>
        <w:t xml:space="preserve">notariaalselt tõestatud</w:t>
      </w:r>
      <w:r>
        <w:rPr>
          <w:b w:val="false"/>
          <w:bCs w:val="false"/>
          <w:sz w:val="22"/>
          <w:szCs w:val="22"/>
        </w:rPr>
        <w:t xml:space="preserve"> (Asjaõigusseaduse § 119) ning omandi üleminekuks on vajalik kanne kinnistusraamatus. Lihtkirjalik või digitaalselt allkirjastatud kinkeleping kinnisasja kohta on tühine.</w:t>
      </w:r>
    </w:p>
    <w:p>
      <w:pPr>
        <w:spacing w:after="160"/>
      </w:pPr>
      <w:r>
        <w:rPr>
          <w:b w:val="false"/>
          <w:bCs w:val="false"/>
          <w:sz w:val="22"/>
          <w:szCs w:val="22"/>
        </w:rPr>
        <w:t xml:space="preserve">6.3.2. Pooled on teadlikud, et osaühingu osa võõrandamise käsutustehing peab üldjuhul olema notariaalselt tõestatud (Äriseadustiku § 149 lõige 4), kui osaühingu põhikirjas ei ole vorminõudest loobutud.</w:t>
      </w:r>
    </w:p>
    <w:p>
      <w:pPr>
        <w:spacing w:after="160"/>
      </w:pPr>
      <w:r>
        <w:rPr>
          <w:b w:val="false"/>
          <w:bCs w:val="false"/>
          <w:sz w:val="22"/>
          <w:szCs w:val="22"/>
        </w:rPr>
        <w:t xml:space="preserve">6.3.3. Käesolev Leping ei ole mõeldud kinke tegemiseks kinkija surma puhuks. Kinkelubadusele, mis tuleb täita pärast Kinkija surma, kohaldatakse annaku kohta sätestatut (VÕS § 262) ning selliseks korralduseks tuleb pöörduda notari poole.</w:t>
      </w:r>
    </w:p>
    <w:p>
      <w:pPr>
        <w:pStyle w:val="Heading1"/>
        <w:spacing w:after="160" w:before="240"/>
      </w:pPr>
      <w:r>
        <w:rPr>
          <w:b/>
          <w:bCs/>
          <w:sz w:val="28"/>
          <w:szCs w:val="28"/>
        </w:rPr>
        <w:t xml:space="preserve">7. LÕPPSÄTTED</w:t>
      </w:r>
    </w:p>
    <w:p>
      <w:pPr>
        <w:spacing w:after="160"/>
      </w:pPr>
      <w:r>
        <w:rPr>
          <w:b w:val="false"/>
          <w:bCs w:val="false"/>
          <w:sz w:val="22"/>
          <w:szCs w:val="22"/>
        </w:rPr>
        <w:t xml:space="preserve">7.1. Pooled edastavad omavahelised teated käesoleva Lepingu punktis 1 nimetatud kontaktandmetel. Teade loetakse kättesaaduks, kui see on saadetud e-posti aadressile saatmise päeval (eeldusel, et puudub veateade) või tähtkirjaga kolmandal tööpäeval pärast postitamist.</w:t>
      </w:r>
    </w:p>
    <w:p>
      <w:pPr>
        <w:spacing w:after="160"/>
      </w:pPr>
      <w:r>
        <w:rPr>
          <w:b w:val="false"/>
          <w:bCs w:val="false"/>
          <w:sz w:val="22"/>
          <w:szCs w:val="22"/>
        </w:rPr>
        <w:t xml:space="preserve">7.2. Käesolevast Lepingust tulenevad vaidlused lahendavad Pooled läbirääkimiste teel. Kokkuleppe mittesaavutamisel lahendatakse vaidlused </w:t>
      </w:r>
      <w:r>
        <w:rPr>
          <w:b/>
          <w:bCs/>
          <w:sz w:val="22"/>
          <w:szCs w:val="22"/>
        </w:rPr>
        <w:t xml:space="preserve">{{dispute_forum}}</w:t>
      </w:r>
      <w:r>
        <w:rPr>
          <w:b w:val="false"/>
          <w:bCs w:val="false"/>
          <w:sz w:val="22"/>
          <w:szCs w:val="22"/>
        </w:rPr>
        <w:t xml:space="preserve">.</w:t>
      </w:r>
    </w:p>
    <w:p>
      <w:pPr>
        <w:spacing w:after="160"/>
      </w:pPr>
      <w:r>
        <w:rPr>
          <w:b w:val="false"/>
          <w:bCs w:val="false"/>
          <w:sz w:val="22"/>
          <w:szCs w:val="22"/>
        </w:rPr>
        <w:t xml:space="preserve">7.3. Käesolevale Lepingule kohaldatakse </w:t>
      </w:r>
      <w:r>
        <w:rPr>
          <w:b/>
          <w:bCs/>
          <w:sz w:val="22"/>
          <w:szCs w:val="22"/>
        </w:rPr>
        <w:t xml:space="preserve">Eesti Vabariigi õigust</w:t>
      </w:r>
      <w:r>
        <w:rPr>
          <w:b w:val="false"/>
          <w:bCs w:val="false"/>
          <w:sz w:val="22"/>
          <w:szCs w:val="22"/>
        </w:rPr>
        <w:t xml:space="preserve">.</w:t>
      </w:r>
    </w:p>
    <w:p>
      <w:pPr>
        <w:spacing w:after="160"/>
      </w:pPr>
      <w:r>
        <w:rPr>
          <w:b w:val="false"/>
          <w:bCs w:val="false"/>
          <w:sz w:val="22"/>
          <w:szCs w:val="22"/>
        </w:rPr>
        <w:t xml:space="preserve">7.4. Lepingut saab muuta ja täiendada üksnes Poolte kirjalikul kokkuleppel, mis vormistatakse Lepingu lisana.</w:t>
      </w:r>
    </w:p>
    <w:p>
      <w:pPr>
        <w:spacing w:after="160"/>
      </w:pPr>
      <w:r>
        <w:rPr>
          <w:b w:val="false"/>
          <w:bCs w:val="false"/>
          <w:sz w:val="22"/>
          <w:szCs w:val="22"/>
        </w:rPr>
        <w:t xml:space="preserve">7.5. Kui mõni Lepingu säte osutub kehtetuks, ei mõjuta see ülejäänud Lepingu sätete kehtivust. Kehtetu säte asendatakse seadusele vastava sättega, mis kõige täpsemini vastab Poolte algsele tahtele.</w:t>
      </w:r>
    </w:p>
    <w:p>
      <w:pPr>
        <w:spacing w:after="160"/>
      </w:pPr>
      <w:r>
        <w:rPr>
          <w:b w:val="false"/>
          <w:bCs w:val="false"/>
          <w:sz w:val="22"/>
          <w:szCs w:val="22"/>
        </w:rPr>
        <w:t xml:space="preserve">7.6. Leping on koostatud ja allkirjastatud kahes eksemplaris, millest kumbki Pool saab ühe. Digitaalselt allkirjastatud Lepingu puhul on Leping üks elektrooniline eksemplar.</w:t>
      </w:r>
    </w:p>
    <w:p>
      <w:pPr>
        <w:spacing w:after="160"/>
      </w:pPr>
      <w:r>
        <w:rPr>
          <w:b w:val="false"/>
          <w:bCs w:val="false"/>
          <w:sz w:val="22"/>
          <w:szCs w:val="22"/>
        </w:rPr>
        <w:t xml:space="preserve">7.7. Käesolev Leping jõustub Poolte poolt allkirjastamise (sealhulgas digiallkirjastamise) hetkel. Digitaalselt allkirjastatud Leping vastab VÕS § 261 lõikes 1 sätestatud kirjaliku vormi nõudele (Tsiviilseadustiku üldosa seaduse § 80).</w:t>
      </w:r>
    </w:p>
    <w:p>
      <w:pPr>
        <w:pStyle w:val="Heading1"/>
        <w:spacing w:after="160" w:before="240"/>
      </w:pPr>
      <w:r>
        <w:rPr>
          <w:b/>
          <w:bCs/>
          <w:sz w:val="28"/>
          <w:szCs w:val="28"/>
        </w:rPr>
        <w:t xml:space="preserve">OSAPOOLTE ALLKIRJAD</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pct" w:w="33%"/>
            <w:tcMar>
              <w:top w:type="dxa" w:w="80"/>
              <w:left w:type="dxa" w:w="120"/>
              <w:bottom w:type="dxa" w:w="80"/>
              <w:right w:type="dxa" w:w="120"/>
            </w:tcMar>
          </w:tcPr>
          <w:p>
            <w:pPr>
              <w:spacing w:after="40" w:before="40"/>
            </w:pPr>
            <w:r>
              <w:rPr>
                <w:b w:val="false"/>
                <w:bCs w:val="false"/>
                <w:sz w:val="22"/>
                <w:szCs w:val="22"/>
              </w:rPr>
              <w:t xml:space="preserve"> </w:t>
            </w:r>
          </w:p>
        </w:tc>
        <w:tc>
          <w:tcPr>
            <w:tcW w:type="pct" w:w="33%"/>
            <w:tcMar>
              <w:top w:type="dxa" w:w="80"/>
              <w:left w:type="dxa" w:w="120"/>
              <w:bottom w:type="dxa" w:w="80"/>
              <w:right w:type="dxa" w:w="120"/>
            </w:tcMar>
          </w:tcPr>
          <w:p>
            <w:pPr>
              <w:spacing w:after="40" w:before="40"/>
            </w:pPr>
            <w:r>
              <w:rPr>
                <w:b w:val="false"/>
                <w:bCs w:val="false"/>
                <w:sz w:val="22"/>
                <w:szCs w:val="22"/>
              </w:rPr>
              <w:t xml:space="preserve">Kinkija</w:t>
            </w:r>
          </w:p>
        </w:tc>
        <w:tc>
          <w:tcPr>
            <w:tcW w:type="pct" w:w="33%"/>
            <w:tcMar>
              <w:top w:type="dxa" w:w="80"/>
              <w:left w:type="dxa" w:w="120"/>
              <w:bottom w:type="dxa" w:w="80"/>
              <w:right w:type="dxa" w:w="120"/>
            </w:tcMar>
          </w:tcPr>
          <w:p>
            <w:pPr>
              <w:spacing w:after="40" w:before="40"/>
            </w:pPr>
            <w:r>
              <w:rPr>
                <w:b w:val="false"/>
                <w:bCs w:val="false"/>
                <w:sz w:val="22"/>
                <w:szCs w:val="22"/>
              </w:rPr>
              <w:t xml:space="preserve">Kingisaaja</w:t>
            </w:r>
          </w:p>
        </w:tc>
      </w:tr>
      <w:tr>
        <w:tc>
          <w:tcPr>
            <w:tcW w:type="pct" w:w="33%"/>
            <w:tcMar>
              <w:top w:type="dxa" w:w="80"/>
              <w:left w:type="dxa" w:w="120"/>
              <w:bottom w:type="dxa" w:w="80"/>
              <w:right w:type="dxa" w:w="120"/>
            </w:tcMar>
          </w:tcPr>
          <w:p>
            <w:pPr>
              <w:spacing w:after="40" w:before="40"/>
            </w:pPr>
            <w:r>
              <w:rPr>
                <w:b/>
                <w:bCs/>
                <w:sz w:val="22"/>
                <w:szCs w:val="22"/>
              </w:rPr>
              <w:t xml:space="preserve">Nimi</w:t>
            </w:r>
          </w:p>
        </w:tc>
        <w:tc>
          <w:tcPr>
            <w:tcW w:type="pct" w:w="33%"/>
            <w:tcMar>
              <w:top w:type="dxa" w:w="80"/>
              <w:left w:type="dxa" w:w="120"/>
              <w:bottom w:type="dxa" w:w="80"/>
              <w:right w:type="dxa" w:w="120"/>
            </w:tcMar>
          </w:tcPr>
          <w:p>
            <w:pPr>
              <w:spacing w:after="40" w:before="40"/>
            </w:pPr>
            <w:r>
              <w:rPr>
                <w:b w:val="false"/>
                <w:bCs w:val="false"/>
                <w:sz w:val="22"/>
                <w:szCs w:val="22"/>
              </w:rPr>
              <w:t xml:space="preserve">{{donor_name}}</w:t>
            </w:r>
          </w:p>
        </w:tc>
        <w:tc>
          <w:tcPr>
            <w:tcW w:type="pct" w:w="33%"/>
            <w:tcMar>
              <w:top w:type="dxa" w:w="80"/>
              <w:left w:type="dxa" w:w="120"/>
              <w:bottom w:type="dxa" w:w="80"/>
              <w:right w:type="dxa" w:w="120"/>
            </w:tcMar>
          </w:tcPr>
          <w:p>
            <w:pPr>
              <w:spacing w:after="40" w:before="40"/>
            </w:pPr>
            <w:r>
              <w:rPr>
                <w:b w:val="false"/>
                <w:bCs w:val="false"/>
                <w:sz w:val="22"/>
                <w:szCs w:val="22"/>
              </w:rPr>
              <w:t xml:space="preserve">{{donee_name}}</w:t>
            </w:r>
          </w:p>
        </w:tc>
      </w:tr>
      <w:tr>
        <w:tc>
          <w:tcPr>
            <w:tcW w:type="pct" w:w="33%"/>
            <w:tcMar>
              <w:top w:type="dxa" w:w="80"/>
              <w:left w:type="dxa" w:w="120"/>
              <w:bottom w:type="dxa" w:w="80"/>
              <w:right w:type="dxa" w:w="120"/>
            </w:tcMar>
          </w:tcPr>
          <w:p>
            <w:pPr>
              <w:spacing w:after="40" w:before="40"/>
            </w:pPr>
            <w:r>
              <w:rPr>
                <w:b/>
                <w:bCs/>
                <w:sz w:val="22"/>
                <w:szCs w:val="22"/>
              </w:rPr>
              <w:t xml:space="preserve">Isiku-/registrikood</w:t>
            </w:r>
          </w:p>
        </w:tc>
        <w:tc>
          <w:tcPr>
            <w:tcW w:type="pct" w:w="33%"/>
            <w:tcMar>
              <w:top w:type="dxa" w:w="80"/>
              <w:left w:type="dxa" w:w="120"/>
              <w:bottom w:type="dxa" w:w="80"/>
              <w:right w:type="dxa" w:w="120"/>
            </w:tcMar>
          </w:tcPr>
          <w:p>
            <w:pPr>
              <w:spacing w:after="40" w:before="40"/>
            </w:pPr>
            <w:r>
              <w:rPr>
                <w:b w:val="false"/>
                <w:bCs w:val="false"/>
                <w:sz w:val="22"/>
                <w:szCs w:val="22"/>
              </w:rPr>
              <w:t xml:space="preserve">{{donor_id_code}}</w:t>
            </w:r>
          </w:p>
        </w:tc>
        <w:tc>
          <w:tcPr>
            <w:tcW w:type="pct" w:w="33%"/>
            <w:tcMar>
              <w:top w:type="dxa" w:w="80"/>
              <w:left w:type="dxa" w:w="120"/>
              <w:bottom w:type="dxa" w:w="80"/>
              <w:right w:type="dxa" w:w="120"/>
            </w:tcMar>
          </w:tcPr>
          <w:p>
            <w:pPr>
              <w:spacing w:after="40" w:before="40"/>
            </w:pPr>
            <w:r>
              <w:rPr>
                <w:b w:val="false"/>
                <w:bCs w:val="false"/>
                <w:sz w:val="22"/>
                <w:szCs w:val="22"/>
              </w:rPr>
              <w:t xml:space="preserve">{{donee_id_code}}</w:t>
            </w:r>
          </w:p>
        </w:tc>
      </w:tr>
      <w:tr>
        <w:tc>
          <w:tcPr>
            <w:tcW w:type="pct" w:w="33%"/>
            <w:tcMar>
              <w:top w:type="dxa" w:w="80"/>
              <w:left w:type="dxa" w:w="120"/>
              <w:bottom w:type="dxa" w:w="80"/>
              <w:right w:type="dxa" w:w="120"/>
            </w:tcMar>
          </w:tcPr>
          <w:p>
            <w:pPr>
              <w:spacing w:after="40" w:before="40"/>
            </w:pPr>
            <w:r>
              <w:rPr>
                <w:b/>
                <w:bCs/>
                <w:sz w:val="22"/>
                <w:szCs w:val="22"/>
              </w:rPr>
              <w:t xml:space="preserve">Allkiri</w:t>
            </w:r>
          </w:p>
        </w:tc>
        <w:tc>
          <w:tcPr>
            <w:tcW w:type="pct" w:w="33%"/>
            <w:tcMar>
              <w:top w:type="dxa" w:w="80"/>
              <w:left w:type="dxa" w:w="120"/>
              <w:bottom w:type="dxa" w:w="80"/>
              <w:right w:type="dxa" w:w="120"/>
            </w:tcMar>
          </w:tcPr>
          <w:p>
            <w:pPr>
              <w:spacing w:after="40" w:before="40"/>
            </w:pPr>
            <w:r>
              <w:rPr>
                <w:b/>
                <w:bCs/>
                <w:sz w:val="22"/>
                <w:szCs w:val="22"/>
              </w:rPr>
              <w:t xml:space="preserve">****</w:t>
            </w:r>
            <w:r>
              <w:rPr>
                <w:b/>
                <w:bCs/>
                <w:sz w:val="22"/>
                <w:szCs w:val="22"/>
              </w:rPr>
              <w:t xml:space="preserve">\_\_\_\_</w:t>
            </w:r>
            <w:r>
              <w:rPr>
                <w:b/>
                <w:bCs/>
                <w:sz w:val="22"/>
                <w:szCs w:val="22"/>
              </w:rPr>
              <w:t xml:space="preserve">****</w:t>
            </w:r>
          </w:p>
        </w:tc>
        <w:tc>
          <w:tcPr>
            <w:tcW w:type="pct" w:w="33%"/>
            <w:tcMar>
              <w:top w:type="dxa" w:w="80"/>
              <w:left w:type="dxa" w:w="120"/>
              <w:bottom w:type="dxa" w:w="80"/>
              <w:right w:type="dxa" w:w="120"/>
            </w:tcMar>
          </w:tcPr>
          <w:p>
            <w:pPr>
              <w:spacing w:after="40" w:before="40"/>
            </w:pPr>
            <w:r>
              <w:rPr>
                <w:b/>
                <w:bCs/>
                <w:sz w:val="22"/>
                <w:szCs w:val="22"/>
              </w:rPr>
              <w:t xml:space="preserve">****</w:t>
            </w:r>
            <w:r>
              <w:rPr>
                <w:b/>
                <w:bCs/>
                <w:sz w:val="22"/>
                <w:szCs w:val="22"/>
              </w:rPr>
              <w:t xml:space="preserve">\_\_\_\_</w:t>
            </w:r>
            <w:r>
              <w:rPr>
                <w:b/>
                <w:bCs/>
                <w:sz w:val="22"/>
                <w:szCs w:val="22"/>
              </w:rPr>
              <w:t xml:space="preserve">****</w:t>
            </w:r>
          </w:p>
        </w:tc>
      </w:tr>
      <w:tr>
        <w:tc>
          <w:tcPr>
            <w:tcW w:type="pct" w:w="33%"/>
            <w:tcMar>
              <w:top w:type="dxa" w:w="80"/>
              <w:left w:type="dxa" w:w="120"/>
              <w:bottom w:type="dxa" w:w="80"/>
              <w:right w:type="dxa" w:w="120"/>
            </w:tcMar>
          </w:tcPr>
          <w:p>
            <w:pPr>
              <w:spacing w:after="40" w:before="40"/>
            </w:pPr>
            <w:r>
              <w:rPr>
                <w:b/>
                <w:bCs/>
                <w:sz w:val="22"/>
                <w:szCs w:val="22"/>
              </w:rPr>
              <w:t xml:space="preserve">Kuupäev</w:t>
            </w:r>
          </w:p>
        </w:tc>
        <w:tc>
          <w:tcPr>
            <w:tcW w:type="pct" w:w="33%"/>
            <w:tcMar>
              <w:top w:type="dxa" w:w="80"/>
              <w:left w:type="dxa" w:w="120"/>
              <w:bottom w:type="dxa" w:w="80"/>
              <w:right w:type="dxa" w:w="120"/>
            </w:tcMar>
          </w:tcPr>
          <w:p>
            <w:pPr>
              <w:spacing w:after="40" w:before="40"/>
            </w:pPr>
            <w:r>
              <w:rPr>
                <w:b w:val="false"/>
                <w:bCs w:val="false"/>
                <w:sz w:val="22"/>
                <w:szCs w:val="22"/>
              </w:rPr>
              <w:t xml:space="preserve">{{signature_date}}</w:t>
            </w:r>
          </w:p>
        </w:tc>
        <w:tc>
          <w:tcPr>
            <w:tcW w:type="pct" w:w="33%"/>
            <w:tcMar>
              <w:top w:type="dxa" w:w="80"/>
              <w:left w:type="dxa" w:w="120"/>
              <w:bottom w:type="dxa" w:w="80"/>
              <w:right w:type="dxa" w:w="120"/>
            </w:tcMar>
          </w:tcPr>
          <w:p>
            <w:pPr>
              <w:spacing w:after="40" w:before="40"/>
            </w:pPr>
            <w:r>
              <w:rPr>
                <w:b w:val="false"/>
                <w:bCs w:val="false"/>
                <w:sz w:val="22"/>
                <w:szCs w:val="22"/>
              </w:rPr>
              <w:t xml:space="preserve">{{signature_date}}</w:t>
            </w:r>
          </w:p>
        </w:tc>
      </w:tr>
    </w:tbl>
    <w:p>
      <w:pPr>
        <w:spacing w:after="120"/>
      </w:pPr>
      <w:r>
        <w:rPr>
          <w:sz w:val="22"/>
          <w:szCs w:val="22"/>
        </w:rPr>
        <w:t xml:space="preserve"/>
      </w:r>
    </w:p>
    <w:p>
      <w:pPr>
        <w:spacing w:after="160"/>
      </w:pPr>
      <w:r>
        <w:rPr>
          <w:b/>
          <w:bCs/>
          <w:sz w:val="22"/>
          <w:szCs w:val="22"/>
        </w:rPr>
        <w:t xml:space="preserve">Abikaasa nõusolek (kui kohaldub):</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tcMar>
              <w:top w:type="dxa" w:w="80"/>
              <w:left w:type="dxa" w:w="120"/>
              <w:bottom w:type="dxa" w:w="80"/>
              <w:right w:type="dxa" w:w="120"/>
            </w:tcMar>
          </w:tcPr>
          <w:p>
            <w:pPr>
              <w:spacing w:after="40" w:before="40"/>
            </w:pPr>
            <w:r>
              <w:rPr>
                <w:b w:val="false"/>
                <w:bCs w:val="false"/>
                <w:sz w:val="22"/>
                <w:szCs w:val="22"/>
              </w:rPr>
              <w:t xml:space="preserve"> </w:t>
            </w:r>
          </w:p>
        </w:tc>
        <w:tc>
          <w:tcPr>
            <w:tcW w:type="pct" w:w="50%"/>
            <w:tcMar>
              <w:top w:type="dxa" w:w="80"/>
              <w:left w:type="dxa" w:w="120"/>
              <w:bottom w:type="dxa" w:w="80"/>
              <w:right w:type="dxa" w:w="120"/>
            </w:tcMar>
          </w:tcPr>
          <w:p>
            <w:pPr>
              <w:spacing w:after="40" w:before="40"/>
            </w:pPr>
            <w:r>
              <w:rPr>
                <w:b w:val="false"/>
                <w:bCs w:val="false"/>
                <w:sz w:val="22"/>
                <w:szCs w:val="22"/>
              </w:rPr>
              <w:t xml:space="preserve">Kinkija abikaasa</w:t>
            </w:r>
          </w:p>
        </w:tc>
      </w:tr>
      <w:tr>
        <w:tc>
          <w:tcPr>
            <w:tcW w:type="pct" w:w="50%"/>
            <w:tcMar>
              <w:top w:type="dxa" w:w="80"/>
              <w:left w:type="dxa" w:w="120"/>
              <w:bottom w:type="dxa" w:w="80"/>
              <w:right w:type="dxa" w:w="120"/>
            </w:tcMar>
          </w:tcPr>
          <w:p>
            <w:pPr>
              <w:spacing w:after="40" w:before="40"/>
            </w:pPr>
            <w:r>
              <w:rPr>
                <w:b/>
                <w:bCs/>
                <w:sz w:val="22"/>
                <w:szCs w:val="22"/>
              </w:rPr>
              <w:t xml:space="preserve">Nimi</w:t>
            </w:r>
          </w:p>
        </w:tc>
        <w:tc>
          <w:tcPr>
            <w:tcW w:type="pct" w:w="50%"/>
            <w:tcMar>
              <w:top w:type="dxa" w:w="80"/>
              <w:left w:type="dxa" w:w="120"/>
              <w:bottom w:type="dxa" w:w="80"/>
              <w:right w:type="dxa" w:w="120"/>
            </w:tcMar>
          </w:tcPr>
          <w:p>
            <w:pPr>
              <w:spacing w:after="40" w:before="40"/>
            </w:pPr>
            <w:r>
              <w:rPr>
                <w:b w:val="false"/>
                <w:bCs w:val="false"/>
                <w:sz w:val="22"/>
                <w:szCs w:val="22"/>
              </w:rPr>
              <w:t xml:space="preserve">{{donor_spouse_name}}</w:t>
            </w:r>
          </w:p>
        </w:tc>
      </w:tr>
      <w:tr>
        <w:tc>
          <w:tcPr>
            <w:tcW w:type="pct" w:w="50%"/>
            <w:tcMar>
              <w:top w:type="dxa" w:w="80"/>
              <w:left w:type="dxa" w:w="120"/>
              <w:bottom w:type="dxa" w:w="80"/>
              <w:right w:type="dxa" w:w="120"/>
            </w:tcMar>
          </w:tcPr>
          <w:p>
            <w:pPr>
              <w:spacing w:after="40" w:before="40"/>
            </w:pPr>
            <w:r>
              <w:rPr>
                <w:b/>
                <w:bCs/>
                <w:sz w:val="22"/>
                <w:szCs w:val="22"/>
              </w:rPr>
              <w:t xml:space="preserve">Isikukood</w:t>
            </w:r>
          </w:p>
        </w:tc>
        <w:tc>
          <w:tcPr>
            <w:tcW w:type="pct" w:w="50%"/>
            <w:tcMar>
              <w:top w:type="dxa" w:w="80"/>
              <w:left w:type="dxa" w:w="120"/>
              <w:bottom w:type="dxa" w:w="80"/>
              <w:right w:type="dxa" w:w="120"/>
            </w:tcMar>
          </w:tcPr>
          <w:p>
            <w:pPr>
              <w:spacing w:after="40" w:before="40"/>
            </w:pPr>
            <w:r>
              <w:rPr>
                <w:b w:val="false"/>
                <w:bCs w:val="false"/>
                <w:sz w:val="22"/>
                <w:szCs w:val="22"/>
              </w:rPr>
              <w:t xml:space="preserve">{{donor_spouse_id_code}}</w:t>
            </w:r>
          </w:p>
        </w:tc>
      </w:tr>
      <w:tr>
        <w:tc>
          <w:tcPr>
            <w:tcW w:type="pct" w:w="50%"/>
            <w:tcMar>
              <w:top w:type="dxa" w:w="80"/>
              <w:left w:type="dxa" w:w="120"/>
              <w:bottom w:type="dxa" w:w="80"/>
              <w:right w:type="dxa" w:w="120"/>
            </w:tcMar>
          </w:tcPr>
          <w:p>
            <w:pPr>
              <w:spacing w:after="40" w:before="40"/>
            </w:pPr>
            <w:r>
              <w:rPr>
                <w:b/>
                <w:bCs/>
                <w:sz w:val="22"/>
                <w:szCs w:val="22"/>
              </w:rPr>
              <w:t xml:space="preserve">Allkiri</w:t>
            </w:r>
          </w:p>
        </w:tc>
        <w:tc>
          <w:tcPr>
            <w:tcW w:type="pct" w:w="50%"/>
            <w:tcMar>
              <w:top w:type="dxa" w:w="80"/>
              <w:left w:type="dxa" w:w="120"/>
              <w:bottom w:type="dxa" w:w="80"/>
              <w:right w:type="dxa" w:w="120"/>
            </w:tcMar>
          </w:tcPr>
          <w:p>
            <w:pPr>
              <w:spacing w:after="40" w:before="40"/>
            </w:pPr>
            <w:r>
              <w:rPr>
                <w:b/>
                <w:bCs/>
                <w:sz w:val="22"/>
                <w:szCs w:val="22"/>
              </w:rPr>
              <w:t xml:space="preserve">****</w:t>
            </w:r>
            <w:r>
              <w:rPr>
                <w:b/>
                <w:bCs/>
                <w:sz w:val="22"/>
                <w:szCs w:val="22"/>
              </w:rPr>
              <w:t xml:space="preserve">\_\_\_\_</w:t>
            </w:r>
            <w:r>
              <w:rPr>
                <w:b/>
                <w:bCs/>
                <w:sz w:val="22"/>
                <w:szCs w:val="22"/>
              </w:rPr>
              <w:t xml:space="preserve">****</w:t>
            </w:r>
          </w:p>
        </w:tc>
      </w:tr>
      <w:tr>
        <w:tc>
          <w:tcPr>
            <w:tcW w:type="pct" w:w="50%"/>
            <w:tcMar>
              <w:top w:type="dxa" w:w="80"/>
              <w:left w:type="dxa" w:w="120"/>
              <w:bottom w:type="dxa" w:w="80"/>
              <w:right w:type="dxa" w:w="120"/>
            </w:tcMar>
          </w:tcPr>
          <w:p>
            <w:pPr>
              <w:spacing w:after="40" w:before="40"/>
            </w:pPr>
            <w:r>
              <w:rPr>
                <w:b/>
                <w:bCs/>
                <w:sz w:val="22"/>
                <w:szCs w:val="22"/>
              </w:rPr>
              <w:t xml:space="preserve">Kuupäev</w:t>
            </w:r>
          </w:p>
        </w:tc>
        <w:tc>
          <w:tcPr>
            <w:tcW w:type="pct" w:w="50%"/>
            <w:tcMar>
              <w:top w:type="dxa" w:w="80"/>
              <w:left w:type="dxa" w:w="120"/>
              <w:bottom w:type="dxa" w:w="80"/>
              <w:right w:type="dxa" w:w="120"/>
            </w:tcMar>
          </w:tcPr>
          <w:p>
            <w:pPr>
              <w:spacing w:after="40" w:before="40"/>
            </w:pPr>
            <w:r>
              <w:rPr>
                <w:b w:val="false"/>
                <w:bCs w:val="false"/>
                <w:sz w:val="22"/>
                <w:szCs w:val="22"/>
              </w:rPr>
              <w:t xml:space="preserve">{{signature_date}}</w:t>
            </w:r>
          </w:p>
        </w:tc>
      </w:tr>
    </w:tbl>
    <w:p>
      <w:pPr>
        <w:spacing w:after="120"/>
      </w:pPr>
      <w:r>
        <w:rPr>
          <w:sz w:val="22"/>
          <w:szCs w:val="22"/>
        </w:rPr>
        <w:t xml:space="preserve"/>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Kinkelepingu näidis</dc:title>
  <dc:creator>Agrello</dc:creator>
  <cp:lastModifiedBy>Un-named</cp:lastModifiedBy>
  <cp:revision>1</cp:revision>
  <dcterms:created xsi:type="dcterms:W3CDTF">2026-06-12T12:29:46.781Z</dcterms:created>
  <dcterms:modified xsi:type="dcterms:W3CDTF">2026-06-12T12:29:46.781Z</dcterms:modified>
</cp:coreProperties>
</file>

<file path=docProps/custom.xml><?xml version="1.0" encoding="utf-8"?>
<Properties xmlns="http://schemas.openxmlformats.org/officeDocument/2006/custom-properties" xmlns:vt="http://schemas.openxmlformats.org/officeDocument/2006/docPropsVTypes"/>
</file>