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KONFIDENTSIAALSUSKOKKULEPE nr {{agreement_number}}</w:t>
      </w:r>
    </w:p>
    <w:p>
      <w:pPr>
        <w:spacing w:after="160"/>
      </w:pPr>
      <w:r>
        <w:rPr>
          <w:b w:val="false"/>
          <w:bCs w:val="false"/>
          <w:sz w:val="22"/>
          <w:szCs w:val="22"/>
        </w:rPr>
        <w:t xml:space="preserve">{{contract_date}}, {{contract_location}}</w:t>
      </w:r>
    </w:p>
    <w:p>
      <w:pPr>
        <w:pStyle w:val="Heading1"/>
        <w:spacing w:after="160" w:before="240"/>
      </w:pPr>
      <w:r>
        <w:rPr>
          <w:b/>
          <w:bCs/>
          <w:sz w:val="28"/>
          <w:szCs w:val="28"/>
        </w:rPr>
        <w:t xml:space="preserve">1. KOKKULEPPE POOLED</w:t>
      </w:r>
    </w:p>
    <w:p>
      <w:pPr>
        <w:spacing w:after="160"/>
      </w:pPr>
      <w:r>
        <w:rPr>
          <w:b/>
          <w:bCs/>
          <w:sz w:val="22"/>
          <w:szCs w:val="22"/>
        </w:rPr>
        <w:t xml:space="preserve">Tööandja: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Väli</w:t>
            </w:r>
          </w:p>
        </w:tc>
        <w:tc>
          <w:tcPr>
            <w:tcW w:type="pct" w:w="50%"/>
            <w:tcMar>
              <w:top w:type="dxa" w:w="80"/>
              <w:left w:type="dxa" w:w="120"/>
              <w:bottom w:type="dxa" w:w="80"/>
              <w:right w:type="dxa" w:w="120"/>
            </w:tcMar>
          </w:tcPr>
          <w:p>
            <w:pPr>
              <w:spacing w:after="40" w:before="40"/>
            </w:pPr>
            <w:r>
              <w:rPr>
                <w:b w:val="false"/>
                <w:bCs w:val="false"/>
                <w:sz w:val="22"/>
                <w:szCs w:val="22"/>
              </w:rPr>
              <w:t xml:space="preserve">Andmed</w:t>
            </w:r>
          </w:p>
        </w:tc>
      </w:tr>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{{employer_name}}</w:t>
            </w:r>
          </w:p>
        </w:tc>
      </w:tr>
      <w:tr>
        <w:tc>
          <w:tcPr>
            <w:tcW w:type="pct" w:w="50%"/>
            <w:tcMar>
              <w:top w:type="dxa" w:w="80"/>
              <w:left w:type="dxa" w:w="120"/>
              <w:bottom w:type="dxa" w:w="80"/>
              <w:right w:type="dxa" w:w="120"/>
            </w:tcMar>
          </w:tcPr>
          <w:p>
            <w:pPr>
              <w:spacing w:after="40" w:before="40"/>
            </w:pPr>
            <w:r>
              <w:rPr>
                <w:b/>
                <w:bCs/>
                <w:sz w:val="22"/>
                <w:szCs w:val="22"/>
              </w:rPr>
              <w:t xml:space="preserve">Registrikood</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{{employer_reg_code}}</w:t>
            </w:r>
          </w:p>
        </w:tc>
      </w:tr>
      <w:tr>
        <w:tc>
          <w:tcPr>
            <w:tcW w:type="pct" w:w="50%"/>
            <w:tcMar>
              <w:top w:type="dxa" w:w="80"/>
              <w:left w:type="dxa" w:w="120"/>
              <w:bottom w:type="dxa" w:w="80"/>
              <w:right w:type="dxa" w:w="120"/>
            </w:tcMar>
          </w:tcPr>
          <w:p>
            <w:pPr>
              <w:spacing w:after="40" w:before="40"/>
            </w:pPr>
            <w:r>
              <w:rPr>
                <w:b/>
                <w:bCs/>
                <w:sz w:val="22"/>
                <w:szCs w:val="22"/>
              </w:rPr>
              <w:t xml:space="preserve">Aadress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{{employer_address}}</w:t>
            </w:r>
          </w:p>
        </w:tc>
      </w:tr>
      <w:tr>
        <w:tc>
          <w:tcPr>
            <w:tcW w:type="pct" w:w="50%"/>
            <w:tcMar>
              <w:top w:type="dxa" w:w="80"/>
              <w:left w:type="dxa" w:w="120"/>
              <w:bottom w:type="dxa" w:w="80"/>
              <w:right w:type="dxa" w:w="120"/>
            </w:tcMar>
          </w:tcPr>
          <w:p>
            <w:pPr>
              <w:spacing w:after="40" w:before="40"/>
            </w:pPr>
            <w:r>
              <w:rPr>
                <w:b/>
                <w:bCs/>
                <w:sz w:val="22"/>
                <w:szCs w:val="22"/>
              </w:rPr>
              <w:t xml:space="preserve">Esindaja</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{{employer_representative_name}}</w:t>
            </w:r>
          </w:p>
        </w:tc>
      </w:tr>
    </w:tbl>
    <w:p>
      <w:pPr>
        <w:spacing w:after="120"/>
      </w:pPr>
      <w:r>
        <w:rPr>
          <w:sz w:val="22"/>
          <w:szCs w:val="22"/>
        </w:rPr>
        <w:t xml:space="preserve"/>
      </w:r>
    </w:p>
    <w:p>
      <w:pPr>
        <w:spacing w:after="160"/>
      </w:pPr>
      <w:r>
        <w:rPr>
          <w:b/>
          <w:bCs/>
          <w:sz w:val="22"/>
          <w:szCs w:val="22"/>
        </w:rPr>
        <w:t xml:space="preserve">Töötaja: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Väli</w:t>
            </w:r>
          </w:p>
        </w:tc>
        <w:tc>
          <w:tcPr>
            <w:tcW w:type="pct" w:w="50%"/>
            <w:tcMar>
              <w:top w:type="dxa" w:w="80"/>
              <w:left w:type="dxa" w:w="120"/>
              <w:bottom w:type="dxa" w:w="80"/>
              <w:right w:type="dxa" w:w="120"/>
            </w:tcMar>
          </w:tcPr>
          <w:p>
            <w:pPr>
              <w:spacing w:after="40" w:before="40"/>
            </w:pPr>
            <w:r>
              <w:rPr>
                <w:b w:val="false"/>
                <w:bCs w:val="false"/>
                <w:sz w:val="22"/>
                <w:szCs w:val="22"/>
              </w:rPr>
              <w:t xml:space="preserve">Andmed</w:t>
            </w:r>
          </w:p>
        </w:tc>
      </w:tr>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50%"/>
            <w:tcMar>
              <w:top w:type="dxa" w:w="80"/>
              <w:left w:type="dxa" w:w="120"/>
              <w:bottom w:type="dxa" w:w="80"/>
              <w:right w:type="dxa" w:w="120"/>
            </w:tcMar>
          </w:tcPr>
          <w:p>
            <w:pPr>
              <w:spacing w:after="40" w:before="40"/>
            </w:pPr>
            <w:r>
              <w:rPr>
                <w:b/>
                <w:bCs/>
                <w:sz w:val="22"/>
                <w:szCs w:val="22"/>
              </w:rPr>
              <w:t xml:space="preserve">Isikukood</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{{employee_id_code}}</w:t>
            </w:r>
          </w:p>
        </w:tc>
      </w:tr>
      <w:tr>
        <w:tc>
          <w:tcPr>
            <w:tcW w:type="pct" w:w="50%"/>
            <w:tcMar>
              <w:top w:type="dxa" w:w="80"/>
              <w:left w:type="dxa" w:w="120"/>
              <w:bottom w:type="dxa" w:w="80"/>
              <w:right w:type="dxa" w:w="120"/>
            </w:tcMar>
          </w:tcPr>
          <w:p>
            <w:pPr>
              <w:spacing w:after="40" w:before="40"/>
            </w:pPr>
            <w:r>
              <w:rPr>
                <w:b/>
                <w:bCs/>
                <w:sz w:val="22"/>
                <w:szCs w:val="22"/>
              </w:rPr>
              <w:t xml:space="preserve">Elukoht</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{{employee_address}}</w:t>
            </w:r>
          </w:p>
        </w:tc>
      </w:tr>
      <w:tr>
        <w:tc>
          <w:tcPr>
            <w:tcW w:type="pct" w:w="50%"/>
            <w:tcMar>
              <w:top w:type="dxa" w:w="80"/>
              <w:left w:type="dxa" w:w="120"/>
              <w:bottom w:type="dxa" w:w="80"/>
              <w:right w:type="dxa" w:w="120"/>
            </w:tcMar>
          </w:tcPr>
          <w:p>
            <w:pPr>
              <w:spacing w:after="40" w:before="40"/>
            </w:pPr>
            <w:r>
              <w:rPr>
                <w:b/>
                <w:bCs/>
                <w:sz w:val="22"/>
                <w:szCs w:val="22"/>
              </w:rPr>
              <w:t xml:space="preserve">Ametikoht</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{{employee_position}}</w:t>
            </w:r>
          </w:p>
        </w:tc>
      </w:tr>
    </w:tbl>
    <w:p>
      <w:pPr>
        <w:spacing w:after="120"/>
      </w:pPr>
      <w:r>
        <w:rPr>
          <w:sz w:val="22"/>
          <w:szCs w:val="22"/>
        </w:rPr>
        <w:t xml:space="preserve"/>
      </w:r>
    </w:p>
    <w:p>
      <w:pPr>
        <w:spacing w:after="160"/>
      </w:pPr>
      <w:r>
        <w:rPr>
          <w:b w:val="false"/>
          <w:bCs w:val="false"/>
          <w:sz w:val="22"/>
          <w:szCs w:val="22"/>
        </w:rPr>
        <w:t xml:space="preserve">Tööandja ja Töötaja (edaspidi koos „Pooled" ja eraldi „Pool") sõlmivad käesoleva konfidentsiaalsuskokkuleppe (edaspidi „Kokkulepe") alljärgnevatel tingimustel.</w:t>
      </w:r>
    </w:p>
    <w:p>
      <w:pPr>
        <w:pStyle w:val="Heading1"/>
        <w:spacing w:after="160" w:before="240"/>
      </w:pPr>
      <w:r>
        <w:rPr>
          <w:b/>
          <w:bCs/>
          <w:sz w:val="28"/>
          <w:szCs w:val="28"/>
        </w:rPr>
        <w:t xml:space="preserve">2. KONFIDENTSIAALNE TEAVE</w:t>
      </w:r>
    </w:p>
    <w:p>
      <w:pPr>
        <w:spacing w:after="160"/>
      </w:pPr>
      <w:r>
        <w:rPr>
          <w:b w:val="false"/>
          <w:bCs w:val="false"/>
          <w:sz w:val="22"/>
          <w:szCs w:val="22"/>
        </w:rPr>
        <w:t xml:space="preserve">2.1. Konfidentsiaalne teave on igasugune Tööandjaga seotud teave, mille Töötaja saab teada töösuhte käigus või seoses tööülesannete täitmisega ning mis ei ole avalik. Konfidentsiaalne teave hõlmab muu hulgas:</w:t>
      </w:r>
    </w:p>
    <w:p>
      <w:pPr>
        <w:pStyle w:val="ListParagraph"/>
        <w:numPr>
          <w:ilvl w:val="0"/>
          <w:numId w:val="1"/>
        </w:numPr>
        <w:spacing w:after="120"/>
      </w:pPr>
      <w:r>
        <w:rPr>
          <w:b w:val="false"/>
          <w:bCs w:val="false"/>
          <w:sz w:val="22"/>
          <w:szCs w:val="22"/>
        </w:rPr>
        <w:t xml:space="preserve">Tööandja ärisaladust töölepingu seaduse § 22 ja ebaausa konkurentsi takistamise ja ärisaladuse kaitse seaduse tähenduses;</w:t>
      </w:r>
    </w:p>
    <w:p>
      <w:pPr>
        <w:pStyle w:val="ListParagraph"/>
        <w:numPr>
          <w:ilvl w:val="0"/>
          <w:numId w:val="1"/>
        </w:numPr>
        <w:spacing w:after="120"/>
      </w:pPr>
      <w:r>
        <w:rPr>
          <w:b w:val="false"/>
          <w:bCs w:val="false"/>
          <w:sz w:val="22"/>
          <w:szCs w:val="22"/>
        </w:rPr>
        <w:t xml:space="preserve">klientide, tarnijate ja koostööpartnerite andmeid ning lepingutingimusi;</w:t>
      </w:r>
    </w:p>
    <w:p>
      <w:pPr>
        <w:pStyle w:val="ListParagraph"/>
        <w:numPr>
          <w:ilvl w:val="0"/>
          <w:numId w:val="1"/>
        </w:numPr>
        <w:spacing w:after="120"/>
      </w:pPr>
      <w:r>
        <w:rPr>
          <w:b w:val="false"/>
          <w:bCs w:val="false"/>
          <w:sz w:val="22"/>
          <w:szCs w:val="22"/>
        </w:rPr>
        <w:t xml:space="preserve">hinnastust, müügi-, turundus- ja finantsteavet;</w:t>
      </w:r>
    </w:p>
    <w:p>
      <w:pPr>
        <w:pStyle w:val="ListParagraph"/>
        <w:numPr>
          <w:ilvl w:val="0"/>
          <w:numId w:val="1"/>
        </w:numPr>
        <w:spacing w:after="120"/>
      </w:pPr>
      <w:r>
        <w:rPr>
          <w:b w:val="false"/>
          <w:bCs w:val="false"/>
          <w:sz w:val="22"/>
          <w:szCs w:val="22"/>
        </w:rPr>
        <w:t xml:space="preserve">tehnoloogilist, tootmis- ja arendusalast oskusteavet, lähtekoodi ja dokumentatsiooni;</w:t>
      </w:r>
    </w:p>
    <w:p>
      <w:pPr>
        <w:pStyle w:val="ListParagraph"/>
        <w:numPr>
          <w:ilvl w:val="0"/>
          <w:numId w:val="1"/>
        </w:numPr>
        <w:spacing w:after="120"/>
      </w:pPr>
      <w:r>
        <w:rPr>
          <w:b w:val="false"/>
          <w:bCs w:val="false"/>
          <w:sz w:val="22"/>
          <w:szCs w:val="22"/>
        </w:rPr>
        <w:t xml:space="preserve">ärisaladuseks märgitud sise-eeskirju, plaane ja muud tundlikku teavet.</w:t>
      </w:r>
    </w:p>
    <w:p>
      <w:pPr>
        <w:spacing w:after="160"/>
      </w:pPr>
      <w:r>
        <w:rPr>
          <w:b w:val="false"/>
          <w:bCs w:val="false"/>
          <w:sz w:val="22"/>
          <w:szCs w:val="22"/>
        </w:rPr>
        <w:t xml:space="preserve">2.2. Ärisaladus on teave, mis ei ole üldteada ega kergesti kättesaadav, millel on kaubanduslik väärtus just tänu salajasusele ja mille kaitseks on Tööandja võtnud kasutusele mõistlikud meetmed (ebaausa konkurentsi takistamise ja ärisaladuse kaitse seaduse § 5).</w:t>
      </w:r>
    </w:p>
    <w:p>
      <w:pPr>
        <w:pStyle w:val="Heading1"/>
        <w:spacing w:after="160" w:before="240"/>
      </w:pPr>
      <w:r>
        <w:rPr>
          <w:b/>
          <w:bCs/>
          <w:sz w:val="28"/>
          <w:szCs w:val="28"/>
        </w:rPr>
        <w:t xml:space="preserve">3. TÖÖTAJA KOHUSTUSED</w:t>
      </w:r>
    </w:p>
    <w:p>
      <w:pPr>
        <w:spacing w:after="160"/>
      </w:pPr>
      <w:r>
        <w:rPr>
          <w:b w:val="false"/>
          <w:bCs w:val="false"/>
          <w:sz w:val="22"/>
          <w:szCs w:val="22"/>
        </w:rPr>
        <w:t xml:space="preserve">3.1. Töötaja kohustub hoidma konfidentsiaalset teavet saladuses ega avalda seda kolmandatele isikutele ilma Tööandja eelneva kirjaliku nõusolekuta.</w:t>
      </w:r>
    </w:p>
    <w:p>
      <w:pPr>
        <w:spacing w:after="160"/>
      </w:pPr>
      <w:r>
        <w:rPr>
          <w:b w:val="false"/>
          <w:bCs w:val="false"/>
          <w:sz w:val="22"/>
          <w:szCs w:val="22"/>
        </w:rPr>
        <w:t xml:space="preserve">3.2. Töötaja kasutab konfidentsiaalset teavet üksnes oma tööülesannete täitmiseks ega kasuta seda enda ega kolmandate isikute huvides.</w:t>
      </w:r>
    </w:p>
    <w:p>
      <w:pPr>
        <w:spacing w:after="160"/>
      </w:pPr>
      <w:r>
        <w:rPr>
          <w:b w:val="false"/>
          <w:bCs w:val="false"/>
          <w:sz w:val="22"/>
          <w:szCs w:val="22"/>
        </w:rPr>
        <w:t xml:space="preserve">3.3. Töötaja rakendab konfidentsiaalse teabe kaitseks mõistlikke ettevaatusabinõusid ega jäta seda kolmandatele isikutele kättesaadavaks.</w:t>
      </w:r>
    </w:p>
    <w:p>
      <w:pPr>
        <w:spacing w:after="160"/>
      </w:pPr>
      <w:r>
        <w:rPr>
          <w:b w:val="false"/>
          <w:bCs w:val="false"/>
          <w:sz w:val="22"/>
          <w:szCs w:val="22"/>
        </w:rPr>
        <w:t xml:space="preserve">3.4. Töösuhte lõppemisel tagastab Töötaja kõik konfidentsiaalset teavet sisaldavad materjalid ja andmekandjad või hävitab need Tööandja juhisel ega säilita neist koopiaid.</w:t>
      </w:r>
    </w:p>
    <w:p>
      <w:pPr>
        <w:pStyle w:val="Heading1"/>
        <w:spacing w:after="160" w:before="240"/>
      </w:pPr>
      <w:r>
        <w:rPr>
          <w:b/>
          <w:bCs/>
          <w:sz w:val="28"/>
          <w:szCs w:val="28"/>
        </w:rPr>
        <w:t xml:space="preserve">4. TÖÖANDJA KOHUSTUSED</w:t>
      </w:r>
    </w:p>
    <w:p>
      <w:pPr>
        <w:spacing w:after="160"/>
      </w:pPr>
      <w:r>
        <w:rPr>
          <w:b w:val="false"/>
          <w:bCs w:val="false"/>
          <w:sz w:val="22"/>
          <w:szCs w:val="22"/>
        </w:rPr>
        <w:t xml:space="preserve">4.1. Tööandja määratleb ja tähistab konfidentsiaalse teabe mõistlikul viisil, et Töötaja saaks aru, millist teavet tuleb kaitsta.</w:t>
      </w:r>
    </w:p>
    <w:p>
      <w:pPr>
        <w:spacing w:after="160"/>
      </w:pPr>
      <w:r>
        <w:rPr>
          <w:b w:val="false"/>
          <w:bCs w:val="false"/>
          <w:sz w:val="22"/>
          <w:szCs w:val="22"/>
        </w:rPr>
        <w:t xml:space="preserve">4.2. Tööandja teavitab Töötajat konfidentsiaalse teabe käitlemise korrast ja aitab luua tingimused teabe saladuses hoidmiseks.</w:t>
      </w:r>
    </w:p>
    <w:p>
      <w:pPr>
        <w:pStyle w:val="Heading1"/>
        <w:spacing w:after="160" w:before="240"/>
      </w:pPr>
      <w:r>
        <w:rPr>
          <w:b/>
          <w:bCs/>
          <w:sz w:val="28"/>
          <w:szCs w:val="28"/>
        </w:rPr>
        <w:t xml:space="preserve">5. KONFIDENTSIAALSUSKOHUSTUSE TÄHTAEG</w:t>
      </w:r>
    </w:p>
    <w:p>
      <w:pPr>
        <w:spacing w:after="160"/>
      </w:pPr>
      <w:r>
        <w:rPr>
          <w:b w:val="false"/>
          <w:bCs w:val="false"/>
          <w:sz w:val="22"/>
          <w:szCs w:val="22"/>
        </w:rPr>
        <w:t xml:space="preserve">5.1. Konfidentsiaalsuskohustus kehtib kogu töösuhte kestel.</w:t>
      </w:r>
    </w:p>
    <w:p>
      <w:pPr>
        <w:spacing w:after="160"/>
      </w:pPr>
      <w:r>
        <w:rPr>
          <w:b w:val="false"/>
          <w:bCs w:val="false"/>
          <w:sz w:val="22"/>
          <w:szCs w:val="22"/>
        </w:rPr>
        <w:t xml:space="preserve">5.2. Pärast töösuhte lõppemist kehtib konfidentsiaalsuskohustus </w:t>
      </w:r>
      <w:r>
        <w:rPr>
          <w:b/>
          <w:bCs/>
          <w:sz w:val="22"/>
          <w:szCs w:val="22"/>
        </w:rPr>
        <w:t xml:space="preserve">{{confidentiality_period}}</w:t>
      </w:r>
      <w:r>
        <w:rPr>
          <w:b w:val="false"/>
          <w:bCs w:val="false"/>
          <w:sz w:val="22"/>
          <w:szCs w:val="22"/>
        </w:rPr>
        <w:t xml:space="preserve"> ulatuses, mis on vajalik Tööandja põhjendatud huvide kaitseks (töölepingu seaduse § 22).</w:t>
      </w:r>
    </w:p>
    <w:p>
      <w:pPr>
        <w:pStyle w:val="Heading1"/>
        <w:spacing w:after="160" w:before="240"/>
      </w:pPr>
      <w:r>
        <w:rPr>
          <w:b/>
          <w:bCs/>
          <w:sz w:val="28"/>
          <w:szCs w:val="28"/>
        </w:rPr>
        <w:t xml:space="preserve">6. ERANDID KONFIDENTSIAALSUSKOHUSTUSEST</w:t>
      </w:r>
    </w:p>
    <w:p>
      <w:pPr>
        <w:spacing w:after="160"/>
      </w:pPr>
      <w:r>
        <w:rPr>
          <w:b w:val="false"/>
          <w:bCs w:val="false"/>
          <w:sz w:val="22"/>
          <w:szCs w:val="22"/>
        </w:rPr>
        <w:t xml:space="preserve">6.1. Konfidentsiaalsuskohustus ei kohaldu teabele, mis:</w:t>
      </w:r>
    </w:p>
    <w:p>
      <w:pPr>
        <w:pStyle w:val="ListParagraph"/>
        <w:numPr>
          <w:ilvl w:val="0"/>
          <w:numId w:val="1"/>
        </w:numPr>
        <w:spacing w:after="120"/>
      </w:pPr>
      <w:r>
        <w:rPr>
          <w:b w:val="false"/>
          <w:bCs w:val="false"/>
          <w:sz w:val="22"/>
          <w:szCs w:val="22"/>
        </w:rPr>
        <w:t xml:space="preserve">on muutunud avalikuks ilma Töötaja rikkumiseta;</w:t>
      </w:r>
    </w:p>
    <w:p>
      <w:pPr>
        <w:pStyle w:val="ListParagraph"/>
        <w:numPr>
          <w:ilvl w:val="0"/>
          <w:numId w:val="1"/>
        </w:numPr>
        <w:spacing w:after="120"/>
      </w:pPr>
      <w:r>
        <w:rPr>
          <w:b w:val="false"/>
          <w:bCs w:val="false"/>
          <w:sz w:val="22"/>
          <w:szCs w:val="22"/>
        </w:rPr>
        <w:t xml:space="preserve">oli Töötajale õiguspäraselt teada enne selle saamist Tööandjalt;</w:t>
      </w:r>
    </w:p>
    <w:p>
      <w:pPr>
        <w:pStyle w:val="ListParagraph"/>
        <w:numPr>
          <w:ilvl w:val="0"/>
          <w:numId w:val="1"/>
        </w:numPr>
        <w:spacing w:after="120"/>
      </w:pPr>
      <w:r>
        <w:rPr>
          <w:b w:val="false"/>
          <w:bCs w:val="false"/>
          <w:sz w:val="22"/>
          <w:szCs w:val="22"/>
        </w:rPr>
        <w:t xml:space="preserve">avaldatakse Tööandja eelneval kirjalikul nõusolekul;</w:t>
      </w:r>
    </w:p>
    <w:p>
      <w:pPr>
        <w:pStyle w:val="ListParagraph"/>
        <w:numPr>
          <w:ilvl w:val="0"/>
          <w:numId w:val="1"/>
        </w:numPr>
        <w:spacing w:after="120"/>
      </w:pPr>
      <w:r>
        <w:rPr>
          <w:b w:val="false"/>
          <w:bCs w:val="false"/>
          <w:sz w:val="22"/>
          <w:szCs w:val="22"/>
        </w:rPr>
        <w:t xml:space="preserve">tuleb avaldada seaduse või pädeva ametiasutuse või kohtu nõudel, teavitades sellest võimaluse korral eelnevalt Tööandjat.</w:t>
      </w:r>
    </w:p>
    <w:p>
      <w:pPr>
        <w:pStyle w:val="Heading1"/>
        <w:spacing w:after="160" w:before="240"/>
      </w:pPr>
      <w:r>
        <w:rPr>
          <w:b/>
          <w:bCs/>
          <w:sz w:val="28"/>
          <w:szCs w:val="28"/>
        </w:rPr>
        <w:t xml:space="preserve">7. VASTUTUS</w:t>
      </w:r>
    </w:p>
    <w:p>
      <w:pPr>
        <w:spacing w:after="160"/>
      </w:pPr>
      <w:r>
        <w:rPr>
          <w:b w:val="false"/>
          <w:bCs w:val="false"/>
          <w:sz w:val="22"/>
          <w:szCs w:val="22"/>
        </w:rPr>
        <w:t xml:space="preserve">7.1. Konfidentsiaalsuskohustuse rikkumise korral kohustub Töötaja tasuma Tööandjale leppetrahvi summas </w:t>
      </w:r>
      <w:r>
        <w:rPr>
          <w:b/>
          <w:bCs/>
          <w:sz w:val="22"/>
          <w:szCs w:val="22"/>
        </w:rPr>
        <w:t xml:space="preserve">{{penalty_amount}}</w:t>
      </w:r>
      <w:r>
        <w:rPr>
          <w:b w:val="false"/>
          <w:bCs w:val="false"/>
          <w:sz w:val="22"/>
          <w:szCs w:val="22"/>
        </w:rPr>
        <w:t xml:space="preserve"> iga rikkumise juhu eest (võlaõigusseaduse § 158).</w:t>
      </w:r>
    </w:p>
    <w:p>
      <w:pPr>
        <w:spacing w:after="160"/>
      </w:pPr>
      <w:r>
        <w:rPr>
          <w:b w:val="false"/>
          <w:bCs w:val="false"/>
          <w:sz w:val="22"/>
          <w:szCs w:val="22"/>
        </w:rPr>
        <w:t xml:space="preserve">7.2. Leppetrahvi tasumine ei vabasta Töötajat kohustuse täitmisest ega välista Tööandja õigust nõuda leppetrahvi ületavas osas tegeliku kahju hüvitamist.</w:t>
      </w:r>
    </w:p>
    <w:p>
      <w:pPr>
        <w:pStyle w:val="Heading1"/>
        <w:spacing w:after="160" w:before="240"/>
      </w:pPr>
      <w:r>
        <w:rPr>
          <w:b/>
          <w:bCs/>
          <w:sz w:val="28"/>
          <w:szCs w:val="28"/>
        </w:rPr>
        <w:t xml:space="preserve">8. LÕPPSÄTTED</w:t>
      </w:r>
    </w:p>
    <w:p>
      <w:pPr>
        <w:spacing w:after="160"/>
      </w:pPr>
      <w:r>
        <w:rPr>
          <w:b w:val="false"/>
          <w:bCs w:val="false"/>
          <w:sz w:val="22"/>
          <w:szCs w:val="22"/>
        </w:rPr>
        <w:t xml:space="preserve">8.1. Kokkuleppele kohaldatakse Eesti Vabariigi õigust, eelkõige töölepingu seadust, võlaõigusseadust ning ebaausa konkurentsi takistamise ja ärisaladuse kaitse seadust.</w:t>
      </w:r>
    </w:p>
    <w:p>
      <w:pPr>
        <w:spacing w:after="160"/>
      </w:pPr>
      <w:r>
        <w:rPr>
          <w:b w:val="false"/>
          <w:bCs w:val="false"/>
          <w:sz w:val="22"/>
          <w:szCs w:val="22"/>
        </w:rPr>
        <w:t xml:space="preserve">8.2. Käesoleva Kokkuleppe elektrooniline allkirjastamine (sh e-allkirja andmise teel) on võrdväärne omakäelise allkirjaga vastavalt Eesti Vabariigi seadustele.</w:t>
      </w:r>
    </w:p>
    <w:p>
      <w:pPr>
        <w:spacing w:after="160"/>
      </w:pPr>
      <w:r>
        <w:rPr>
          <w:b w:val="false"/>
          <w:bCs w:val="false"/>
          <w:sz w:val="22"/>
          <w:szCs w:val="22"/>
        </w:rPr>
        <w:t xml:space="preserve">8.3. Kokkuleppe muudatused vormistatakse kirjalikult ja need kehtivad pärast mõlema Poole allkirjastamist. Kokkulepe on koostatud kahes võrdset juriidilist jõudu omavas eksemplaris, millest kumbki Pool saab ühe.</w:t>
      </w:r>
    </w:p>
    <w:p>
      <w:pPr>
        <w:pStyle w:val="Heading1"/>
        <w:spacing w:after="160" w:before="240"/>
      </w:pPr>
      <w:r>
        <w:rPr>
          <w:b/>
          <w:bCs/>
          <w:sz w:val="28"/>
          <w:szCs w:val="28"/>
        </w:rPr>
        <w:t xml:space="preserve">ALLKIRJAD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Tööandja</w:t>
            </w:r>
          </w:p>
        </w:tc>
        <w:tc>
          <w:tcPr>
            <w:tcW w:type="pct" w:w="33%"/>
            <w:tcMar>
              <w:top w:type="dxa" w:w="80"/>
              <w:left w:type="dxa" w:w="120"/>
              <w:bottom w:type="dxa" w:w="80"/>
              <w:right w:type="dxa" w:w="120"/>
            </w:tcMar>
          </w:tcPr>
          <w:p>
            <w:pPr>
              <w:spacing w:after="40" w:before="40"/>
            </w:pPr>
            <w:r>
              <w:rPr>
                <w:b w:val="false"/>
                <w:bCs w:val="false"/>
                <w:sz w:val="22"/>
                <w:szCs w:val="22"/>
              </w:rPr>
              <w:t xml:space="preserve">Töötaja</w:t>
            </w:r>
          </w:p>
        </w:tc>
      </w:tr>
      <w:tr>
        <w:tc>
          <w:tcPr>
            <w:tcW w:type="pct" w:w="33%"/>
            <w:tcMar>
              <w:top w:type="dxa" w:w="80"/>
              <w:left w:type="dxa" w:w="120"/>
              <w:bottom w:type="dxa" w:w="80"/>
              <w:right w:type="dxa" w:w="120"/>
            </w:tcMar>
          </w:tcPr>
          <w:p>
            <w:pPr>
              <w:spacing w:after="40" w:before="40"/>
            </w:pPr>
            <w:r>
              <w:rPr>
                <w:b/>
                <w:bCs/>
                <w:sz w:val="22"/>
                <w:szCs w:val="22"/>
              </w:rPr>
              <w:t xml:space="preserve">Nimi</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33%"/>
            <w:tcMar>
              <w:top w:type="dxa" w:w="80"/>
              <w:left w:type="dxa" w:w="120"/>
              <w:bottom w:type="dxa" w:w="80"/>
              <w:right w:type="dxa" w:w="120"/>
            </w:tcMar>
          </w:tcPr>
          <w:p>
            <w:pPr>
              <w:spacing w:after="40" w:before="40"/>
            </w:pPr>
            <w:r>
              <w:rPr>
                <w:b/>
                <w:bCs/>
                <w:sz w:val="22"/>
                <w:szCs w:val="22"/>
              </w:rPr>
              <w:t xml:space="preserve">Allkiri</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Kuupäev</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Konfidentsiaalsuskokkulepe</dc:title>
  <dc:creator>Agrello</dc:creator>
  <cp:lastModifiedBy>Un-named</cp:lastModifiedBy>
  <cp:revision>1</cp:revision>
  <dcterms:created xsi:type="dcterms:W3CDTF">2026-07-17T07:18:48.692Z</dcterms:created>
  <dcterms:modified xsi:type="dcterms:W3CDTF">2026-07-17T07:18:48.692Z</dcterms:modified>
</cp:coreProperties>
</file>

<file path=docProps/custom.xml><?xml version="1.0" encoding="utf-8"?>
<Properties xmlns="http://schemas.openxmlformats.org/officeDocument/2006/custom-properties" xmlns:vt="http://schemas.openxmlformats.org/officeDocument/2006/docPropsVTypes"/>
</file>