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300"/>
        <w:jc w:val="center"/>
      </w:pPr>
      <w:r>
        <w:rPr>
          <w:b/>
          <w:bCs/>
          <w:sz w:val="36"/>
          <w:szCs w:val="36"/>
        </w:rPr>
        <w:t xml:space="preserve">RANKPINIGIŲ SUTARTIS Nr. {{contract_number}}</w:t>
      </w:r>
    </w:p>
    <w:p>
      <w:pPr>
        <w:spacing w:after="160"/>
      </w:pPr>
      <w:r>
        <w:rPr>
          <w:b w:val="false"/>
          <w:bCs w:val="false"/>
          <w:sz w:val="22"/>
          <w:szCs w:val="22"/>
        </w:rPr>
        <w:t xml:space="preserve">{{contract_location}}, {{contract_date}}</w:t>
      </w:r>
    </w:p>
    <w:p>
      <w:pPr>
        <w:pStyle w:val="Heading1"/>
        <w:spacing w:after="160" w:before="240"/>
      </w:pPr>
      <w:r>
        <w:rPr>
          <w:b/>
          <w:bCs/>
          <w:sz w:val="28"/>
          <w:szCs w:val="28"/>
        </w:rPr>
        <w:t xml:space="preserve">1. ŠALYS</w:t>
      </w:r>
    </w:p>
    <w:p>
      <w:pPr>
        <w:spacing w:after="160"/>
      </w:pPr>
      <w:r>
        <w:rPr>
          <w:b/>
          <w:bCs/>
          <w:sz w:val="22"/>
          <w:szCs w:val="22"/>
        </w:rPr>
        <w:t xml:space="preserve">Rankpinigių davėjas: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val="false"/>
                <w:bCs w:val="false"/>
                <w:sz w:val="22"/>
                <w:szCs w:val="22"/>
              </w:rPr>
              <w:t xml:space="preserve">Laukas</w:t>
            </w:r>
          </w:p>
        </w:tc>
        <w:tc>
          <w:tcPr>
            <w:tcW w:type="pct" w:w="50%"/>
            <w:tcMar>
              <w:top w:type="dxa" w:w="80"/>
              <w:left w:type="dxa" w:w="120"/>
              <w:bottom w:type="dxa" w:w="80"/>
              <w:right w:type="dxa" w:w="120"/>
            </w:tcMar>
          </w:tcPr>
          <w:p>
            <w:pPr>
              <w:spacing w:after="40" w:before="40"/>
            </w:pPr>
            <w:r>
              <w:rPr>
                <w:b w:val="false"/>
                <w:bCs w:val="false"/>
                <w:sz w:val="22"/>
                <w:szCs w:val="22"/>
              </w:rPr>
              <w:t xml:space="preserve">Duomenys</w:t>
            </w:r>
          </w:p>
        </w:tc>
      </w:tr>
      <w:tr>
        <w:tc>
          <w:tcPr>
            <w:tcW w:type="pct" w:w="50%"/>
            <w:tcMar>
              <w:top w:type="dxa" w:w="80"/>
              <w:left w:type="dxa" w:w="120"/>
              <w:bottom w:type="dxa" w:w="80"/>
              <w:right w:type="dxa" w:w="120"/>
            </w:tcMar>
          </w:tcPr>
          <w:p>
            <w:pPr>
              <w:spacing w:after="40" w:before="40"/>
            </w:pPr>
            <w:r>
              <w:rPr>
                <w:b/>
                <w:bCs/>
                <w:sz w:val="22"/>
                <w:szCs w:val="22"/>
              </w:rPr>
              <w:t xml:space="preserve">Vardas, pavardė / Pavadinimas</w:t>
            </w:r>
          </w:p>
        </w:tc>
        <w:tc>
          <w:tcPr>
            <w:tcW w:type="pct" w:w="50%"/>
            <w:tcMar>
              <w:top w:type="dxa" w:w="80"/>
              <w:left w:type="dxa" w:w="120"/>
              <w:bottom w:type="dxa" w:w="80"/>
              <w:right w:type="dxa" w:w="120"/>
            </w:tcMar>
          </w:tcPr>
          <w:p>
            <w:pPr>
              <w:spacing w:after="40" w:before="40"/>
            </w:pPr>
            <w:r>
              <w:rPr>
                <w:b w:val="false"/>
                <w:bCs w:val="false"/>
                <w:sz w:val="22"/>
                <w:szCs w:val="22"/>
              </w:rPr>
              <w:t xml:space="preserve">{{party_a_name}}</w:t>
            </w:r>
          </w:p>
        </w:tc>
      </w:tr>
      <w:tr>
        <w:tc>
          <w:tcPr>
            <w:tcW w:type="pct" w:w="50%"/>
            <w:tcMar>
              <w:top w:type="dxa" w:w="80"/>
              <w:left w:type="dxa" w:w="120"/>
              <w:bottom w:type="dxa" w:w="80"/>
              <w:right w:type="dxa" w:w="120"/>
            </w:tcMar>
          </w:tcPr>
          <w:p>
            <w:pPr>
              <w:spacing w:after="40" w:before="40"/>
            </w:pPr>
            <w:r>
              <w:rPr>
                <w:b/>
                <w:bCs/>
                <w:sz w:val="22"/>
                <w:szCs w:val="22"/>
              </w:rPr>
              <w:t xml:space="preserve">Asmens kodas / Juridinio asmens kodas</w:t>
            </w:r>
          </w:p>
        </w:tc>
        <w:tc>
          <w:tcPr>
            <w:tcW w:type="pct" w:w="50%"/>
            <w:tcMar>
              <w:top w:type="dxa" w:w="80"/>
              <w:left w:type="dxa" w:w="120"/>
              <w:bottom w:type="dxa" w:w="80"/>
              <w:right w:type="dxa" w:w="120"/>
            </w:tcMar>
          </w:tcPr>
          <w:p>
            <w:pPr>
              <w:spacing w:after="40" w:before="40"/>
            </w:pPr>
            <w:r>
              <w:rPr>
                <w:b w:val="false"/>
                <w:bCs w:val="false"/>
                <w:sz w:val="22"/>
                <w:szCs w:val="22"/>
              </w:rPr>
              <w:t xml:space="preserve">{{party_a_code}}</w:t>
            </w:r>
          </w:p>
        </w:tc>
      </w:tr>
      <w:tr>
        <w:tc>
          <w:tcPr>
            <w:tcW w:type="pct" w:w="50%"/>
            <w:tcMar>
              <w:top w:type="dxa" w:w="80"/>
              <w:left w:type="dxa" w:w="120"/>
              <w:bottom w:type="dxa" w:w="80"/>
              <w:right w:type="dxa" w:w="120"/>
            </w:tcMar>
          </w:tcPr>
          <w:p>
            <w:pPr>
              <w:spacing w:after="40" w:before="40"/>
            </w:pPr>
            <w:r>
              <w:rPr>
                <w:b/>
                <w:bCs/>
                <w:sz w:val="22"/>
                <w:szCs w:val="22"/>
              </w:rPr>
              <w:t xml:space="preserve">Adresas / Buveinė</w:t>
            </w:r>
          </w:p>
        </w:tc>
        <w:tc>
          <w:tcPr>
            <w:tcW w:type="pct" w:w="50%"/>
            <w:tcMar>
              <w:top w:type="dxa" w:w="80"/>
              <w:left w:type="dxa" w:w="120"/>
              <w:bottom w:type="dxa" w:w="80"/>
              <w:right w:type="dxa" w:w="120"/>
            </w:tcMar>
          </w:tcPr>
          <w:p>
            <w:pPr>
              <w:spacing w:after="40" w:before="40"/>
            </w:pPr>
            <w:r>
              <w:rPr>
                <w:b w:val="false"/>
                <w:bCs w:val="false"/>
                <w:sz w:val="22"/>
                <w:szCs w:val="22"/>
              </w:rPr>
              <w:t xml:space="preserve">{{party_a_address}}</w:t>
            </w:r>
          </w:p>
        </w:tc>
      </w:tr>
      <w:tr>
        <w:tc>
          <w:tcPr>
            <w:tcW w:type="pct" w:w="50%"/>
            <w:tcMar>
              <w:top w:type="dxa" w:w="80"/>
              <w:left w:type="dxa" w:w="120"/>
              <w:bottom w:type="dxa" w:w="80"/>
              <w:right w:type="dxa" w:w="120"/>
            </w:tcMar>
          </w:tcPr>
          <w:p>
            <w:pPr>
              <w:spacing w:after="40" w:before="40"/>
            </w:pPr>
            <w:r>
              <w:rPr>
                <w:b/>
                <w:bCs/>
                <w:sz w:val="22"/>
                <w:szCs w:val="22"/>
              </w:rPr>
              <w:t xml:space="preserve">Atstovas (jei juridinis asmuo)</w:t>
            </w:r>
          </w:p>
        </w:tc>
        <w:tc>
          <w:tcPr>
            <w:tcW w:type="pct" w:w="50%"/>
            <w:tcMar>
              <w:top w:type="dxa" w:w="80"/>
              <w:left w:type="dxa" w:w="120"/>
              <w:bottom w:type="dxa" w:w="80"/>
              <w:right w:type="dxa" w:w="120"/>
            </w:tcMar>
          </w:tcPr>
          <w:p>
            <w:pPr>
              <w:spacing w:after="40" w:before="40"/>
            </w:pPr>
            <w:r>
              <w:rPr>
                <w:b w:val="false"/>
                <w:bCs w:val="false"/>
                <w:sz w:val="22"/>
                <w:szCs w:val="22"/>
              </w:rPr>
              <w:t xml:space="preserve">{{party_a_representative}}</w:t>
            </w:r>
          </w:p>
        </w:tc>
      </w:tr>
      <w:tr>
        <w:tc>
          <w:tcPr>
            <w:tcW w:type="pct" w:w="50%"/>
            <w:tcMar>
              <w:top w:type="dxa" w:w="80"/>
              <w:left w:type="dxa" w:w="120"/>
              <w:bottom w:type="dxa" w:w="80"/>
              <w:right w:type="dxa" w:w="120"/>
            </w:tcMar>
          </w:tcPr>
          <w:p>
            <w:pPr>
              <w:spacing w:after="40" w:before="40"/>
            </w:pPr>
            <w:r>
              <w:rPr>
                <w:b/>
                <w:bCs/>
                <w:sz w:val="22"/>
                <w:szCs w:val="22"/>
              </w:rPr>
              <w:t xml:space="preserve">El. paštas</w:t>
            </w:r>
          </w:p>
        </w:tc>
        <w:tc>
          <w:tcPr>
            <w:tcW w:type="pct" w:w="50%"/>
            <w:tcMar>
              <w:top w:type="dxa" w:w="80"/>
              <w:left w:type="dxa" w:w="120"/>
              <w:bottom w:type="dxa" w:w="80"/>
              <w:right w:type="dxa" w:w="120"/>
            </w:tcMar>
          </w:tcPr>
          <w:p>
            <w:pPr>
              <w:spacing w:after="40" w:before="40"/>
            </w:pPr>
            <w:r>
              <w:rPr>
                <w:b w:val="false"/>
                <w:bCs w:val="false"/>
                <w:sz w:val="22"/>
                <w:szCs w:val="22"/>
              </w:rPr>
              <w:t xml:space="preserve">{{party_a_email}}</w:t>
            </w:r>
          </w:p>
        </w:tc>
      </w:tr>
      <w:tr>
        <w:tc>
          <w:tcPr>
            <w:tcW w:type="pct" w:w="50%"/>
            <w:tcMar>
              <w:top w:type="dxa" w:w="80"/>
              <w:left w:type="dxa" w:w="120"/>
              <w:bottom w:type="dxa" w:w="80"/>
              <w:right w:type="dxa" w:w="120"/>
            </w:tcMar>
          </w:tcPr>
          <w:p>
            <w:pPr>
              <w:spacing w:after="40" w:before="40"/>
            </w:pPr>
            <w:r>
              <w:rPr>
                <w:b/>
                <w:bCs/>
                <w:sz w:val="22"/>
                <w:szCs w:val="22"/>
              </w:rPr>
              <w:t xml:space="preserve">Telefonas</w:t>
            </w:r>
          </w:p>
        </w:tc>
        <w:tc>
          <w:tcPr>
            <w:tcW w:type="pct" w:w="50%"/>
            <w:tcMar>
              <w:top w:type="dxa" w:w="80"/>
              <w:left w:type="dxa" w:w="120"/>
              <w:bottom w:type="dxa" w:w="80"/>
              <w:right w:type="dxa" w:w="120"/>
            </w:tcMar>
          </w:tcPr>
          <w:p>
            <w:pPr>
              <w:spacing w:after="40" w:before="40"/>
            </w:pPr>
            <w:r>
              <w:rPr>
                <w:b w:val="false"/>
                <w:bCs w:val="false"/>
                <w:sz w:val="22"/>
                <w:szCs w:val="22"/>
              </w:rPr>
              <w:t xml:space="preserve">{{party_a_phone}}</w:t>
            </w:r>
          </w:p>
        </w:tc>
      </w:tr>
    </w:tbl>
    <w:p>
      <w:pPr>
        <w:spacing w:after="120"/>
      </w:pPr>
      <w:r>
        <w:rPr>
          <w:sz w:val="22"/>
          <w:szCs w:val="22"/>
        </w:rPr>
        <w:t xml:space="preserve"/>
      </w:r>
    </w:p>
    <w:p>
      <w:pPr>
        <w:spacing w:after="160"/>
      </w:pPr>
      <w:r>
        <w:rPr>
          <w:b/>
          <w:bCs/>
          <w:sz w:val="22"/>
          <w:szCs w:val="22"/>
        </w:rPr>
        <w:t xml:space="preserve">Rankpinigių gavėjas: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val="false"/>
                <w:bCs w:val="false"/>
                <w:sz w:val="22"/>
                <w:szCs w:val="22"/>
              </w:rPr>
              <w:t xml:space="preserve">Laukas</w:t>
            </w:r>
          </w:p>
        </w:tc>
        <w:tc>
          <w:tcPr>
            <w:tcW w:type="pct" w:w="50%"/>
            <w:tcMar>
              <w:top w:type="dxa" w:w="80"/>
              <w:left w:type="dxa" w:w="120"/>
              <w:bottom w:type="dxa" w:w="80"/>
              <w:right w:type="dxa" w:w="120"/>
            </w:tcMar>
          </w:tcPr>
          <w:p>
            <w:pPr>
              <w:spacing w:after="40" w:before="40"/>
            </w:pPr>
            <w:r>
              <w:rPr>
                <w:b w:val="false"/>
                <w:bCs w:val="false"/>
                <w:sz w:val="22"/>
                <w:szCs w:val="22"/>
              </w:rPr>
              <w:t xml:space="preserve">Duomenys</w:t>
            </w:r>
          </w:p>
        </w:tc>
      </w:tr>
      <w:tr>
        <w:tc>
          <w:tcPr>
            <w:tcW w:type="pct" w:w="50%"/>
            <w:tcMar>
              <w:top w:type="dxa" w:w="80"/>
              <w:left w:type="dxa" w:w="120"/>
              <w:bottom w:type="dxa" w:w="80"/>
              <w:right w:type="dxa" w:w="120"/>
            </w:tcMar>
          </w:tcPr>
          <w:p>
            <w:pPr>
              <w:spacing w:after="40" w:before="40"/>
            </w:pPr>
            <w:r>
              <w:rPr>
                <w:b/>
                <w:bCs/>
                <w:sz w:val="22"/>
                <w:szCs w:val="22"/>
              </w:rPr>
              <w:t xml:space="preserve">Vardas, pavardė / Pavadinimas</w:t>
            </w:r>
          </w:p>
        </w:tc>
        <w:tc>
          <w:tcPr>
            <w:tcW w:type="pct" w:w="50%"/>
            <w:tcMar>
              <w:top w:type="dxa" w:w="80"/>
              <w:left w:type="dxa" w:w="120"/>
              <w:bottom w:type="dxa" w:w="80"/>
              <w:right w:type="dxa" w:w="120"/>
            </w:tcMar>
          </w:tcPr>
          <w:p>
            <w:pPr>
              <w:spacing w:after="40" w:before="40"/>
            </w:pPr>
            <w:r>
              <w:rPr>
                <w:b w:val="false"/>
                <w:bCs w:val="false"/>
                <w:sz w:val="22"/>
                <w:szCs w:val="22"/>
              </w:rPr>
              <w:t xml:space="preserve">{{party_b_name}}</w:t>
            </w:r>
          </w:p>
        </w:tc>
      </w:tr>
      <w:tr>
        <w:tc>
          <w:tcPr>
            <w:tcW w:type="pct" w:w="50%"/>
            <w:tcMar>
              <w:top w:type="dxa" w:w="80"/>
              <w:left w:type="dxa" w:w="120"/>
              <w:bottom w:type="dxa" w:w="80"/>
              <w:right w:type="dxa" w:w="120"/>
            </w:tcMar>
          </w:tcPr>
          <w:p>
            <w:pPr>
              <w:spacing w:after="40" w:before="40"/>
            </w:pPr>
            <w:r>
              <w:rPr>
                <w:b/>
                <w:bCs/>
                <w:sz w:val="22"/>
                <w:szCs w:val="22"/>
              </w:rPr>
              <w:t xml:space="preserve">Asmens kodas / Juridinio asmens kodas</w:t>
            </w:r>
          </w:p>
        </w:tc>
        <w:tc>
          <w:tcPr>
            <w:tcW w:type="pct" w:w="50%"/>
            <w:tcMar>
              <w:top w:type="dxa" w:w="80"/>
              <w:left w:type="dxa" w:w="120"/>
              <w:bottom w:type="dxa" w:w="80"/>
              <w:right w:type="dxa" w:w="120"/>
            </w:tcMar>
          </w:tcPr>
          <w:p>
            <w:pPr>
              <w:spacing w:after="40" w:before="40"/>
            </w:pPr>
            <w:r>
              <w:rPr>
                <w:b w:val="false"/>
                <w:bCs w:val="false"/>
                <w:sz w:val="22"/>
                <w:szCs w:val="22"/>
              </w:rPr>
              <w:t xml:space="preserve">{{party_b_code}}</w:t>
            </w:r>
          </w:p>
        </w:tc>
      </w:tr>
      <w:tr>
        <w:tc>
          <w:tcPr>
            <w:tcW w:type="pct" w:w="50%"/>
            <w:tcMar>
              <w:top w:type="dxa" w:w="80"/>
              <w:left w:type="dxa" w:w="120"/>
              <w:bottom w:type="dxa" w:w="80"/>
              <w:right w:type="dxa" w:w="120"/>
            </w:tcMar>
          </w:tcPr>
          <w:p>
            <w:pPr>
              <w:spacing w:after="40" w:before="40"/>
            </w:pPr>
            <w:r>
              <w:rPr>
                <w:b/>
                <w:bCs/>
                <w:sz w:val="22"/>
                <w:szCs w:val="22"/>
              </w:rPr>
              <w:t xml:space="preserve">Adresas / Buveinė</w:t>
            </w:r>
          </w:p>
        </w:tc>
        <w:tc>
          <w:tcPr>
            <w:tcW w:type="pct" w:w="50%"/>
            <w:tcMar>
              <w:top w:type="dxa" w:w="80"/>
              <w:left w:type="dxa" w:w="120"/>
              <w:bottom w:type="dxa" w:w="80"/>
              <w:right w:type="dxa" w:w="120"/>
            </w:tcMar>
          </w:tcPr>
          <w:p>
            <w:pPr>
              <w:spacing w:after="40" w:before="40"/>
            </w:pPr>
            <w:r>
              <w:rPr>
                <w:b w:val="false"/>
                <w:bCs w:val="false"/>
                <w:sz w:val="22"/>
                <w:szCs w:val="22"/>
              </w:rPr>
              <w:t xml:space="preserve">{{party_b_address}}</w:t>
            </w:r>
          </w:p>
        </w:tc>
      </w:tr>
      <w:tr>
        <w:tc>
          <w:tcPr>
            <w:tcW w:type="pct" w:w="50%"/>
            <w:tcMar>
              <w:top w:type="dxa" w:w="80"/>
              <w:left w:type="dxa" w:w="120"/>
              <w:bottom w:type="dxa" w:w="80"/>
              <w:right w:type="dxa" w:w="120"/>
            </w:tcMar>
          </w:tcPr>
          <w:p>
            <w:pPr>
              <w:spacing w:after="40" w:before="40"/>
            </w:pPr>
            <w:r>
              <w:rPr>
                <w:b/>
                <w:bCs/>
                <w:sz w:val="22"/>
                <w:szCs w:val="22"/>
              </w:rPr>
              <w:t xml:space="preserve">Atstovas (jei juridinis asmuo)</w:t>
            </w:r>
          </w:p>
        </w:tc>
        <w:tc>
          <w:tcPr>
            <w:tcW w:type="pct" w:w="50%"/>
            <w:tcMar>
              <w:top w:type="dxa" w:w="80"/>
              <w:left w:type="dxa" w:w="120"/>
              <w:bottom w:type="dxa" w:w="80"/>
              <w:right w:type="dxa" w:w="120"/>
            </w:tcMar>
          </w:tcPr>
          <w:p>
            <w:pPr>
              <w:spacing w:after="40" w:before="40"/>
            </w:pPr>
            <w:r>
              <w:rPr>
                <w:b w:val="false"/>
                <w:bCs w:val="false"/>
                <w:sz w:val="22"/>
                <w:szCs w:val="22"/>
              </w:rPr>
              <w:t xml:space="preserve">{{party_b_representative}}</w:t>
            </w:r>
          </w:p>
        </w:tc>
      </w:tr>
      <w:tr>
        <w:tc>
          <w:tcPr>
            <w:tcW w:type="pct" w:w="50%"/>
            <w:tcMar>
              <w:top w:type="dxa" w:w="80"/>
              <w:left w:type="dxa" w:w="120"/>
              <w:bottom w:type="dxa" w:w="80"/>
              <w:right w:type="dxa" w:w="120"/>
            </w:tcMar>
          </w:tcPr>
          <w:p>
            <w:pPr>
              <w:spacing w:after="40" w:before="40"/>
            </w:pPr>
            <w:r>
              <w:rPr>
                <w:b/>
                <w:bCs/>
                <w:sz w:val="22"/>
                <w:szCs w:val="22"/>
              </w:rPr>
              <w:t xml:space="preserve">El. paštas</w:t>
            </w:r>
          </w:p>
        </w:tc>
        <w:tc>
          <w:tcPr>
            <w:tcW w:type="pct" w:w="50%"/>
            <w:tcMar>
              <w:top w:type="dxa" w:w="80"/>
              <w:left w:type="dxa" w:w="120"/>
              <w:bottom w:type="dxa" w:w="80"/>
              <w:right w:type="dxa" w:w="120"/>
            </w:tcMar>
          </w:tcPr>
          <w:p>
            <w:pPr>
              <w:spacing w:after="40" w:before="40"/>
            </w:pPr>
            <w:r>
              <w:rPr>
                <w:b w:val="false"/>
                <w:bCs w:val="false"/>
                <w:sz w:val="22"/>
                <w:szCs w:val="22"/>
              </w:rPr>
              <w:t xml:space="preserve">{{party_b_email}}</w:t>
            </w:r>
          </w:p>
        </w:tc>
      </w:tr>
      <w:tr>
        <w:tc>
          <w:tcPr>
            <w:tcW w:type="pct" w:w="50%"/>
            <w:tcMar>
              <w:top w:type="dxa" w:w="80"/>
              <w:left w:type="dxa" w:w="120"/>
              <w:bottom w:type="dxa" w:w="80"/>
              <w:right w:type="dxa" w:w="120"/>
            </w:tcMar>
          </w:tcPr>
          <w:p>
            <w:pPr>
              <w:spacing w:after="40" w:before="40"/>
            </w:pPr>
            <w:r>
              <w:rPr>
                <w:b/>
                <w:bCs/>
                <w:sz w:val="22"/>
                <w:szCs w:val="22"/>
              </w:rPr>
              <w:t xml:space="preserve">Telefonas</w:t>
            </w:r>
          </w:p>
        </w:tc>
        <w:tc>
          <w:tcPr>
            <w:tcW w:type="pct" w:w="50%"/>
            <w:tcMar>
              <w:top w:type="dxa" w:w="80"/>
              <w:left w:type="dxa" w:w="120"/>
              <w:bottom w:type="dxa" w:w="80"/>
              <w:right w:type="dxa" w:w="120"/>
            </w:tcMar>
          </w:tcPr>
          <w:p>
            <w:pPr>
              <w:spacing w:after="40" w:before="40"/>
            </w:pPr>
            <w:r>
              <w:rPr>
                <w:b w:val="false"/>
                <w:bCs w:val="false"/>
                <w:sz w:val="22"/>
                <w:szCs w:val="22"/>
              </w:rPr>
              <w:t xml:space="preserve">{{party_b_phone}}</w:t>
            </w:r>
          </w:p>
        </w:tc>
      </w:tr>
    </w:tbl>
    <w:p>
      <w:pPr>
        <w:spacing w:after="120"/>
      </w:pPr>
      <w:r>
        <w:rPr>
          <w:sz w:val="22"/>
          <w:szCs w:val="22"/>
        </w:rPr>
        <w:t xml:space="preserve"/>
      </w:r>
    </w:p>
    <w:p>
      <w:pPr>
        <w:spacing w:after="160"/>
      </w:pPr>
      <w:r>
        <w:rPr>
          <w:b w:val="false"/>
          <w:bCs w:val="false"/>
          <w:sz w:val="22"/>
          <w:szCs w:val="22"/>
        </w:rPr>
        <w:t xml:space="preserve">Rankpinigių davėjas ir Rankpinigių gavėjas (toliau kartu — „Šalys", o kiekvienas atskirai — „Šalis") sudarė šią rankpinigių sutartį (toliau — „Sutartis") tokiomis sąlygomis:</w:t>
      </w:r>
    </w:p>
    <w:p>
      <w:pPr>
        <w:pStyle w:val="Heading1"/>
        <w:spacing w:after="160" w:before="240"/>
      </w:pPr>
      <w:r>
        <w:rPr>
          <w:b/>
          <w:bCs/>
          <w:sz w:val="28"/>
          <w:szCs w:val="28"/>
        </w:rPr>
        <w:t xml:space="preserve">2. SUTARTIES DALYKAS</w:t>
      </w:r>
    </w:p>
    <w:p>
      <w:pPr>
        <w:spacing w:after="160"/>
      </w:pPr>
      <w:r>
        <w:rPr>
          <w:b w:val="false"/>
          <w:bCs w:val="false"/>
          <w:sz w:val="22"/>
          <w:szCs w:val="22"/>
        </w:rPr>
        <w:t xml:space="preserve">2.1. Šia Sutartimi Rankpinigių davėjas perduoda Rankpinigių gavėjui rankpinigius </w:t>
      </w:r>
      <w:r>
        <w:rPr>
          <w:b/>
          <w:bCs/>
          <w:sz w:val="22"/>
          <w:szCs w:val="22"/>
        </w:rPr>
        <w:t xml:space="preserve">{{deposit_amount}} {{deposit_currency}}</w:t>
      </w:r>
      <w:r>
        <w:rPr>
          <w:b w:val="false"/>
          <w:bCs w:val="false"/>
          <w:sz w:val="22"/>
          <w:szCs w:val="22"/>
        </w:rPr>
        <w:t xml:space="preserve"> dydžio sumą (toliau — „Rankpinigiai") Pagrindinės sutarties (apibrėžtos 4 skyriuje) egzistavimui patvirtinti ir jos tinkamam įvykdymui užtikrinti.</w:t>
      </w:r>
    </w:p>
    <w:p>
      <w:pPr>
        <w:spacing w:after="160"/>
      </w:pPr>
      <w:r>
        <w:rPr>
          <w:b w:val="false"/>
          <w:bCs w:val="false"/>
          <w:sz w:val="22"/>
          <w:szCs w:val="22"/>
        </w:rPr>
        <w:t xml:space="preserve">2.2. Rankpinigiai mokami </w:t>
      </w:r>
      <w:r>
        <w:rPr>
          <w:b/>
          <w:bCs/>
          <w:sz w:val="22"/>
          <w:szCs w:val="22"/>
        </w:rPr>
        <w:t xml:space="preserve">{{deposit_payment_method}}</w:t>
      </w:r>
      <w:r>
        <w:rPr>
          <w:b w:val="false"/>
          <w:bCs w:val="false"/>
          <w:sz w:val="22"/>
          <w:szCs w:val="22"/>
        </w:rPr>
        <w:t xml:space="preserve"> ne vėliau kaip </w:t>
      </w:r>
      <w:r>
        <w:rPr>
          <w:b/>
          <w:bCs/>
          <w:sz w:val="22"/>
          <w:szCs w:val="22"/>
        </w:rPr>
        <w:t xml:space="preserve">{{deposit_payment_deadline}}</w:t>
      </w:r>
      <w:r>
        <w:rPr>
          <w:b w:val="false"/>
          <w:bCs w:val="false"/>
          <w:sz w:val="22"/>
          <w:szCs w:val="22"/>
        </w:rPr>
        <w:t xml:space="preserve">. Pavedimo atveju Rankpinigiai pervedami į Rankpinigių gavėjo banko sąskaitą </w:t>
      </w:r>
      <w:r>
        <w:rPr>
          <w:b/>
          <w:bCs/>
          <w:sz w:val="22"/>
          <w:szCs w:val="22"/>
        </w:rPr>
        <w:t xml:space="preserve">{{deposit_account}}</w:t>
      </w:r>
      <w:r>
        <w:rPr>
          <w:b w:val="false"/>
          <w:bCs w:val="false"/>
          <w:sz w:val="22"/>
          <w:szCs w:val="22"/>
        </w:rPr>
        <w:t xml:space="preserve">, mokėjimo paskirtyje nurodant „Rankpinigiai pagal {{contract_date}} Sutartį Nr. {{contract_number}}".</w:t>
      </w:r>
    </w:p>
    <w:p>
      <w:pPr>
        <w:spacing w:after="160"/>
      </w:pPr>
      <w:r>
        <w:rPr>
          <w:b w:val="false"/>
          <w:bCs w:val="false"/>
          <w:sz w:val="22"/>
          <w:szCs w:val="22"/>
        </w:rPr>
        <w:t xml:space="preserve">2.3. Rankpinigių perdavimo Rankpinigių gavėjui momentas yra šios Sutarties įsigaliojimo momentas. Iki Rankpinigių faktinio gavimo Sutartis nesukelia teisinių pasekmių, susijusių su rankpinigių institutu.</w:t>
      </w:r>
    </w:p>
    <w:p>
      <w:pPr>
        <w:spacing w:after="160"/>
      </w:pPr>
      <w:r>
        <w:rPr>
          <w:b w:val="false"/>
          <w:bCs w:val="false"/>
          <w:sz w:val="22"/>
          <w:szCs w:val="22"/>
        </w:rPr>
        <w:t xml:space="preserve">2.4. Rankpinigiai įskaitomi į Pagrindinės sutarties kainą tinkamai įvykdžius Pagrindinę sutartį (Civilinio kodekso 6.98 str. 1 d.).</w:t>
      </w:r>
    </w:p>
    <w:p>
      <w:pPr>
        <w:pStyle w:val="Heading1"/>
        <w:spacing w:after="160" w:before="240"/>
      </w:pPr>
      <w:r>
        <w:rPr>
          <w:b/>
          <w:bCs/>
          <w:sz w:val="28"/>
          <w:szCs w:val="28"/>
        </w:rPr>
        <w:t xml:space="preserve">3. RANKPINIGIŲ TEISINĖ PRIGIMTIS</w:t>
      </w:r>
    </w:p>
    <w:p>
      <w:pPr>
        <w:spacing w:after="160"/>
      </w:pPr>
      <w:r>
        <w:rPr>
          <w:b w:val="false"/>
          <w:bCs w:val="false"/>
          <w:sz w:val="22"/>
          <w:szCs w:val="22"/>
        </w:rPr>
        <w:t xml:space="preserve">3.1. Šalys aiškiai ir nedviprasmiškai susitaria, kad 2.1 punkte nurodyta suma yra </w:t>
      </w:r>
      <w:r>
        <w:rPr>
          <w:b/>
          <w:bCs/>
          <w:sz w:val="22"/>
          <w:szCs w:val="22"/>
        </w:rPr>
        <w:t xml:space="preserve">rankpinigiai</w:t>
      </w:r>
      <w:r>
        <w:rPr>
          <w:b w:val="false"/>
          <w:bCs w:val="false"/>
          <w:sz w:val="22"/>
          <w:szCs w:val="22"/>
        </w:rPr>
        <w:t xml:space="preserve"> pagal Lietuvos Respublikos civilinio kodekso 6.98–6.101 straipsnius, o </w:t>
      </w:r>
      <w:r>
        <w:rPr>
          <w:b/>
          <w:bCs/>
          <w:sz w:val="22"/>
          <w:szCs w:val="22"/>
        </w:rPr>
        <w:t xml:space="preserve">ne avansas, ne užstatas ir ne kitokia mokėjimo forma</w:t>
      </w:r>
      <w:r>
        <w:rPr>
          <w:b w:val="false"/>
          <w:bCs w:val="false"/>
          <w:sz w:val="22"/>
          <w:szCs w:val="22"/>
        </w:rPr>
        <w:t xml:space="preserve">.</w:t>
      </w:r>
    </w:p>
    <w:p>
      <w:pPr>
        <w:spacing w:after="160"/>
      </w:pPr>
      <w:r>
        <w:rPr>
          <w:b w:val="false"/>
          <w:bCs w:val="false"/>
          <w:sz w:val="22"/>
          <w:szCs w:val="22"/>
        </w:rPr>
        <w:t xml:space="preserve">3.2. Šalys patvirtina, kad joms žinoma Civilinio kodekso 6.101 straipsnyje įtvirtinta prezumpcija, pagal kurią, kilus abejonėms dėl pagal sutartį sumokėtos sumos prigimties, ji laikoma avansu, jeigu neįrodyta, kad tai yra rankpinigiai. Atsižvelgdamos į tai, Šalys aiškiai įvardija, kad mokama suma yra rankpinigiai, ir ši sąlyga negali būti aiškinama kitaip.</w:t>
      </w:r>
    </w:p>
    <w:p>
      <w:pPr>
        <w:spacing w:after="160"/>
      </w:pPr>
      <w:r>
        <w:rPr>
          <w:b w:val="false"/>
          <w:bCs w:val="false"/>
          <w:sz w:val="22"/>
          <w:szCs w:val="22"/>
        </w:rPr>
        <w:t xml:space="preserve">3.3. Rankpinigiai atlieka tris funkcijas:</w:t>
      </w:r>
    </w:p>
    <w:p>
      <w:pPr>
        <w:spacing w:after="160"/>
      </w:pPr>
      <w:r>
        <w:rPr>
          <w:b w:val="false"/>
          <w:bCs w:val="false"/>
          <w:sz w:val="22"/>
          <w:szCs w:val="22"/>
        </w:rPr>
        <w:t xml:space="preserve">(a) </w:t>
      </w:r>
      <w:r>
        <w:rPr>
          <w:b/>
          <w:bCs/>
          <w:sz w:val="22"/>
          <w:szCs w:val="22"/>
        </w:rPr>
        <w:t xml:space="preserve">mokėjimo funkciją</w:t>
      </w:r>
      <w:r>
        <w:rPr>
          <w:b w:val="false"/>
          <w:bCs w:val="false"/>
          <w:sz w:val="22"/>
          <w:szCs w:val="22"/>
        </w:rPr>
        <w:t xml:space="preserve"> — jie yra Rankpinigių davėjo pagal Pagrindinę sutartį mokėtinos sumos dalis;</w:t>
      </w:r>
    </w:p>
    <w:p>
      <w:pPr>
        <w:spacing w:after="160"/>
      </w:pPr>
      <w:r>
        <w:rPr>
          <w:b w:val="false"/>
          <w:bCs w:val="false"/>
          <w:sz w:val="22"/>
          <w:szCs w:val="22"/>
        </w:rPr>
        <w:t xml:space="preserve">(b) </w:t>
      </w:r>
      <w:r>
        <w:rPr>
          <w:b/>
          <w:bCs/>
          <w:sz w:val="22"/>
          <w:szCs w:val="22"/>
        </w:rPr>
        <w:t xml:space="preserve">įrodomąją funkciją</w:t>
      </w:r>
      <w:r>
        <w:rPr>
          <w:b w:val="false"/>
          <w:bCs w:val="false"/>
          <w:sz w:val="22"/>
          <w:szCs w:val="22"/>
        </w:rPr>
        <w:t xml:space="preserve"> — jie patvirtina, kad Pagrindinė sutartis tarp Šalių yra sudaryta;</w:t>
      </w:r>
    </w:p>
    <w:p>
      <w:pPr>
        <w:spacing w:after="160"/>
      </w:pPr>
      <w:r>
        <w:rPr>
          <w:b w:val="false"/>
          <w:bCs w:val="false"/>
          <w:sz w:val="22"/>
          <w:szCs w:val="22"/>
        </w:rPr>
        <w:t xml:space="preserve">(c) </w:t>
      </w:r>
      <w:r>
        <w:rPr>
          <w:b/>
          <w:bCs/>
          <w:sz w:val="22"/>
          <w:szCs w:val="22"/>
        </w:rPr>
        <w:t xml:space="preserve">užtikrinamąją funkciją</w:t>
      </w:r>
      <w:r>
        <w:rPr>
          <w:b w:val="false"/>
          <w:bCs w:val="false"/>
          <w:sz w:val="22"/>
          <w:szCs w:val="22"/>
        </w:rPr>
        <w:t xml:space="preserve"> — jie užtikrina Pagrindinės sutarties tinkamą įvykdymą.</w:t>
      </w:r>
    </w:p>
    <w:p>
      <w:pPr>
        <w:spacing w:after="160"/>
      </w:pPr>
      <w:r>
        <w:rPr>
          <w:b w:val="false"/>
          <w:bCs w:val="false"/>
          <w:sz w:val="22"/>
          <w:szCs w:val="22"/>
        </w:rPr>
        <w:t xml:space="preserve">3.4. Šalys patvirtina žinančios, kad pagal Civilinio kodekso 6.99 straipsnį susitarimas dėl rankpinigių, neatsižvelgiant į jų dydį, </w:t>
      </w:r>
      <w:r>
        <w:rPr>
          <w:b/>
          <w:bCs/>
          <w:sz w:val="22"/>
          <w:szCs w:val="22"/>
        </w:rPr>
        <w:t xml:space="preserve">privalo būti rašytinis</w:t>
      </w:r>
      <w:r>
        <w:rPr>
          <w:b w:val="false"/>
          <w:bCs w:val="false"/>
          <w:sz w:val="22"/>
          <w:szCs w:val="22"/>
        </w:rPr>
        <w:t xml:space="preserve">, o rašytinės formos nesilaikymas šį susitarimą daro </w:t>
      </w:r>
      <w:r>
        <w:rPr>
          <w:b/>
          <w:bCs/>
          <w:sz w:val="22"/>
          <w:szCs w:val="22"/>
        </w:rPr>
        <w:t xml:space="preserve">negaliojantį</w:t>
      </w:r>
      <w:r>
        <w:rPr>
          <w:b w:val="false"/>
          <w:bCs w:val="false"/>
          <w:sz w:val="22"/>
          <w:szCs w:val="22"/>
        </w:rPr>
        <w:t xml:space="preserve">. Ši Sutartis sudaroma rašytine forma, o kvalifikuotas elektroninis parašas prilyginamas rašytinei formai pagal Civilinio kodekso 1.73 straipsnio 2 dalį.</w:t>
      </w:r>
    </w:p>
    <w:p>
      <w:pPr>
        <w:pStyle w:val="Heading1"/>
        <w:spacing w:after="160" w:before="240"/>
      </w:pPr>
      <w:r>
        <w:rPr>
          <w:b/>
          <w:bCs/>
          <w:sz w:val="28"/>
          <w:szCs w:val="28"/>
        </w:rPr>
        <w:t xml:space="preserve">4. PAGRINDINĖ SUTARTIS</w:t>
      </w:r>
    </w:p>
    <w:p>
      <w:pPr>
        <w:spacing w:after="160"/>
      </w:pPr>
      <w:r>
        <w:rPr>
          <w:b w:val="false"/>
          <w:bCs w:val="false"/>
          <w:sz w:val="22"/>
          <w:szCs w:val="22"/>
        </w:rPr>
        <w:t xml:space="preserve">4.1. Šalys patvirtina, kad jos yra sudariusios pagrindinę sutartį (toliau — „Pagrindinė sutartis"), kuri yra šių Rankpinigių pagrindas: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Mar>
              <w:top w:type="dxa" w:w="80"/>
              <w:left w:type="dxa" w:w="120"/>
              <w:bottom w:type="dxa" w:w="80"/>
              <w:right w:type="dxa" w:w="120"/>
            </w:tcMar>
          </w:tcPr>
          <w:p>
            <w:pPr>
              <w:spacing w:after="40" w:before="40"/>
            </w:pPr>
            <w:r>
              <w:rPr>
                <w:b w:val="false"/>
                <w:bCs w:val="false"/>
                <w:sz w:val="22"/>
                <w:szCs w:val="22"/>
              </w:rPr>
              <w:t xml:space="preserve">Laukas</w:t>
            </w:r>
          </w:p>
        </w:tc>
        <w:tc>
          <w:tcPr>
            <w:tcW w:type="pct" w:w="50%"/>
            <w:tcMar>
              <w:top w:type="dxa" w:w="80"/>
              <w:left w:type="dxa" w:w="120"/>
              <w:bottom w:type="dxa" w:w="80"/>
              <w:right w:type="dxa" w:w="120"/>
            </w:tcMar>
          </w:tcPr>
          <w:p>
            <w:pPr>
              <w:spacing w:after="40" w:before="40"/>
            </w:pPr>
            <w:r>
              <w:rPr>
                <w:b w:val="false"/>
                <w:bCs w:val="false"/>
                <w:sz w:val="22"/>
                <w:szCs w:val="22"/>
              </w:rPr>
              <w:t xml:space="preserve">Duomenys</w:t>
            </w:r>
          </w:p>
        </w:tc>
      </w:tr>
      <w:tr>
        <w:tc>
          <w:tcPr>
            <w:tcW w:type="pct" w:w="50%"/>
            <w:tcMar>
              <w:top w:type="dxa" w:w="80"/>
              <w:left w:type="dxa" w:w="120"/>
              <w:bottom w:type="dxa" w:w="80"/>
              <w:right w:type="dxa" w:w="120"/>
            </w:tcMar>
          </w:tcPr>
          <w:p>
            <w:pPr>
              <w:spacing w:after="40" w:before="40"/>
            </w:pPr>
            <w:r>
              <w:rPr>
                <w:b/>
                <w:bCs/>
                <w:sz w:val="22"/>
                <w:szCs w:val="22"/>
              </w:rPr>
              <w:t xml:space="preserve">Pagrindinės sutarties rūšis</w:t>
            </w:r>
          </w:p>
        </w:tc>
        <w:tc>
          <w:tcPr>
            <w:tcW w:type="pct" w:w="50%"/>
            <w:tcMar>
              <w:top w:type="dxa" w:w="80"/>
              <w:left w:type="dxa" w:w="120"/>
              <w:bottom w:type="dxa" w:w="80"/>
              <w:right w:type="dxa" w:w="120"/>
            </w:tcMar>
          </w:tcPr>
          <w:p>
            <w:pPr>
              <w:spacing w:after="40" w:before="40"/>
            </w:pPr>
            <w:r>
              <w:rPr>
                <w:b w:val="false"/>
                <w:bCs w:val="false"/>
                <w:sz w:val="22"/>
                <w:szCs w:val="22"/>
              </w:rPr>
              <w:t xml:space="preserve">{{main_contract_type}}</w:t>
            </w:r>
          </w:p>
        </w:tc>
      </w:tr>
      <w:tr>
        <w:tc>
          <w:tcPr>
            <w:tcW w:type="pct" w:w="50%"/>
            <w:tcMar>
              <w:top w:type="dxa" w:w="80"/>
              <w:left w:type="dxa" w:w="120"/>
              <w:bottom w:type="dxa" w:w="80"/>
              <w:right w:type="dxa" w:w="120"/>
            </w:tcMar>
          </w:tcPr>
          <w:p>
            <w:pPr>
              <w:spacing w:after="40" w:before="40"/>
            </w:pPr>
            <w:r>
              <w:rPr>
                <w:b/>
                <w:bCs/>
                <w:sz w:val="22"/>
                <w:szCs w:val="22"/>
              </w:rPr>
              <w:t xml:space="preserve">Pagrindinės sutarties dalykas</w:t>
            </w:r>
          </w:p>
        </w:tc>
        <w:tc>
          <w:tcPr>
            <w:tcW w:type="pct" w:w="50%"/>
            <w:tcMar>
              <w:top w:type="dxa" w:w="80"/>
              <w:left w:type="dxa" w:w="120"/>
              <w:bottom w:type="dxa" w:w="80"/>
              <w:right w:type="dxa" w:w="120"/>
            </w:tcMar>
          </w:tcPr>
          <w:p>
            <w:pPr>
              <w:spacing w:after="40" w:before="40"/>
            </w:pPr>
            <w:r>
              <w:rPr>
                <w:b w:val="false"/>
                <w:bCs w:val="false"/>
                <w:sz w:val="22"/>
                <w:szCs w:val="22"/>
              </w:rPr>
              <w:t xml:space="preserve">{{main_contract_subject}}</w:t>
            </w:r>
          </w:p>
        </w:tc>
      </w:tr>
      <w:tr>
        <w:tc>
          <w:tcPr>
            <w:tcW w:type="pct" w:w="50%"/>
            <w:tcMar>
              <w:top w:type="dxa" w:w="80"/>
              <w:left w:type="dxa" w:w="120"/>
              <w:bottom w:type="dxa" w:w="80"/>
              <w:right w:type="dxa" w:w="120"/>
            </w:tcMar>
          </w:tcPr>
          <w:p>
            <w:pPr>
              <w:spacing w:after="40" w:before="40"/>
            </w:pPr>
            <w:r>
              <w:rPr>
                <w:b/>
                <w:bCs/>
                <w:sz w:val="22"/>
                <w:szCs w:val="22"/>
              </w:rPr>
              <w:t xml:space="preserve">Bendra Pagrindinės sutarties kaina</w:t>
            </w:r>
          </w:p>
        </w:tc>
        <w:tc>
          <w:tcPr>
            <w:tcW w:type="pct" w:w="50%"/>
            <w:tcMar>
              <w:top w:type="dxa" w:w="80"/>
              <w:left w:type="dxa" w:w="120"/>
              <w:bottom w:type="dxa" w:w="80"/>
              <w:right w:type="dxa" w:w="120"/>
            </w:tcMar>
          </w:tcPr>
          <w:p>
            <w:pPr>
              <w:spacing w:after="40" w:before="40"/>
            </w:pPr>
            <w:r>
              <w:rPr>
                <w:b w:val="false"/>
                <w:bCs w:val="false"/>
                <w:sz w:val="22"/>
                <w:szCs w:val="22"/>
              </w:rPr>
              <w:t xml:space="preserve">{{main_contract_total_price}}</w:t>
            </w:r>
          </w:p>
        </w:tc>
      </w:tr>
      <w:tr>
        <w:tc>
          <w:tcPr>
            <w:tcW w:type="pct" w:w="50%"/>
            <w:tcMar>
              <w:top w:type="dxa" w:w="80"/>
              <w:left w:type="dxa" w:w="120"/>
              <w:bottom w:type="dxa" w:w="80"/>
              <w:right w:type="dxa" w:w="120"/>
            </w:tcMar>
          </w:tcPr>
          <w:p>
            <w:pPr>
              <w:spacing w:after="40" w:before="40"/>
            </w:pPr>
            <w:r>
              <w:rPr>
                <w:b/>
                <w:bCs/>
                <w:sz w:val="22"/>
                <w:szCs w:val="22"/>
              </w:rPr>
              <w:t xml:space="preserve">Pagrindinės sutarties įvykdymo (sudarymo / daikto perdavimo / paslaugos suteikimo) terminas</w:t>
            </w:r>
          </w:p>
        </w:tc>
        <w:tc>
          <w:tcPr>
            <w:tcW w:type="pct" w:w="50%"/>
            <w:tcMar>
              <w:top w:type="dxa" w:w="80"/>
              <w:left w:type="dxa" w:w="120"/>
              <w:bottom w:type="dxa" w:w="80"/>
              <w:right w:type="dxa" w:w="120"/>
            </w:tcMar>
          </w:tcPr>
          <w:p>
            <w:pPr>
              <w:spacing w:after="40" w:before="40"/>
            </w:pPr>
            <w:r>
              <w:rPr>
                <w:b w:val="false"/>
                <w:bCs w:val="false"/>
                <w:sz w:val="22"/>
                <w:szCs w:val="22"/>
              </w:rPr>
              <w:t xml:space="preserve">{{main_contract_signing_deadline}}</w:t>
            </w:r>
          </w:p>
        </w:tc>
      </w:tr>
    </w:tbl>
    <w:p>
      <w:pPr>
        <w:spacing w:after="120"/>
      </w:pPr>
      <w:r>
        <w:rPr>
          <w:sz w:val="22"/>
          <w:szCs w:val="22"/>
        </w:rPr>
        <w:t xml:space="preserve"/>
      </w:r>
    </w:p>
    <w:p>
      <w:pPr>
        <w:spacing w:after="160"/>
      </w:pPr>
      <w:r>
        <w:rPr>
          <w:b w:val="false"/>
          <w:bCs w:val="false"/>
          <w:sz w:val="22"/>
          <w:szCs w:val="22"/>
        </w:rPr>
        <w:t xml:space="preserve">4.2. </w:t>
      </w:r>
      <w:r>
        <w:rPr>
          <w:b/>
          <w:bCs/>
          <w:sz w:val="22"/>
          <w:szCs w:val="22"/>
        </w:rPr>
        <w:t xml:space="preserve">Svarbi pastaba dėl Sutarties taikymo srities.</w:t>
      </w:r>
      <w:r>
        <w:rPr>
          <w:b w:val="false"/>
          <w:bCs w:val="false"/>
          <w:sz w:val="22"/>
          <w:szCs w:val="22"/>
        </w:rPr>
        <w:t xml:space="preserve"> Šalys aiškiai supranta ir patvirtina, kad pagal Civilinio kodekso 6.98 straipsnio 2 dalį rankpinigiais </w:t>
      </w:r>
      <w:r>
        <w:rPr>
          <w:b/>
          <w:bCs/>
          <w:sz w:val="22"/>
          <w:szCs w:val="22"/>
        </w:rPr>
        <w:t xml:space="preserve">NEGALI</w:t>
      </w:r>
      <w:r>
        <w:rPr>
          <w:b w:val="false"/>
          <w:bCs w:val="false"/>
          <w:sz w:val="22"/>
          <w:szCs w:val="22"/>
        </w:rPr>
        <w:t xml:space="preserve"> būti užtikrinama:</w:t>
      </w:r>
    </w:p>
    <w:p>
      <w:pPr>
        <w:spacing w:after="160"/>
      </w:pPr>
      <w:r>
        <w:rPr>
          <w:b w:val="false"/>
          <w:bCs w:val="false"/>
          <w:sz w:val="22"/>
          <w:szCs w:val="22"/>
        </w:rPr>
        <w:t xml:space="preserve">(a) </w:t>
      </w:r>
      <w:r>
        <w:rPr>
          <w:b/>
          <w:bCs/>
          <w:sz w:val="22"/>
          <w:szCs w:val="22"/>
        </w:rPr>
        <w:t xml:space="preserve">preliminarioji sutartis</w:t>
      </w:r>
      <w:r>
        <w:rPr>
          <w:b w:val="false"/>
          <w:bCs w:val="false"/>
          <w:sz w:val="22"/>
          <w:szCs w:val="22"/>
        </w:rPr>
        <w:t xml:space="preserve"> (įskaitant nekilnojamojo turto preliminariąją pirkimo-pardavimo sutartį) — pagal preliminariąją sutartį sumokama suma teismų praktikoje vertinama kaip avansas, net jeigu Šalys ją įvardija kaip rankpinigius;</w:t>
      </w:r>
    </w:p>
    <w:p>
      <w:pPr>
        <w:spacing w:after="160"/>
      </w:pPr>
      <w:r>
        <w:rPr>
          <w:b w:val="false"/>
          <w:bCs w:val="false"/>
          <w:sz w:val="22"/>
          <w:szCs w:val="22"/>
        </w:rPr>
        <w:t xml:space="preserve">(b) </w:t>
      </w:r>
      <w:r>
        <w:rPr>
          <w:b/>
          <w:bCs/>
          <w:sz w:val="22"/>
          <w:szCs w:val="22"/>
        </w:rPr>
        <w:t xml:space="preserve">sutartis, kuriai pagal įstatymą privaloma notarinė forma</w:t>
      </w:r>
      <w:r>
        <w:rPr>
          <w:b w:val="false"/>
          <w:bCs w:val="false"/>
          <w:sz w:val="22"/>
          <w:szCs w:val="22"/>
        </w:rPr>
        <w:t xml:space="preserve"> (nekilnojamojo turto pirkimo-pardavimo sutartis, uždarosios akcinės bendrovės akcijų pirkimo-pardavimo sutartis, hipotekos sutartis ir kt.).</w:t>
      </w:r>
    </w:p>
    <w:p>
      <w:pPr>
        <w:spacing w:after="160"/>
      </w:pPr>
      <w:r>
        <w:rPr>
          <w:b w:val="false"/>
          <w:bCs w:val="false"/>
          <w:sz w:val="22"/>
          <w:szCs w:val="22"/>
        </w:rPr>
        <w:t xml:space="preserve">4.3. Šalys patvirtina, kad Pagrindinė sutartis nepatenka į 4.2 punkte nurodytas išimtis ir kad šios Sutarties dalyku yra </w:t>
      </w:r>
      <w:r>
        <w:rPr>
          <w:b/>
          <w:bCs/>
          <w:sz w:val="22"/>
          <w:szCs w:val="22"/>
        </w:rPr>
        <w:t xml:space="preserve">jau sudaryta</w:t>
      </w:r>
      <w:r>
        <w:rPr>
          <w:b w:val="false"/>
          <w:bCs w:val="false"/>
          <w:sz w:val="22"/>
          <w:szCs w:val="22"/>
        </w:rPr>
        <w:t xml:space="preserve"> Pagrindinė sutartis, nereikalaujanti notarinės formos.</w:t>
      </w:r>
    </w:p>
    <w:p>
      <w:pPr>
        <w:pStyle w:val="Heading1"/>
        <w:spacing w:after="160" w:before="240"/>
      </w:pPr>
      <w:r>
        <w:rPr>
          <w:b/>
          <w:bCs/>
          <w:sz w:val="28"/>
          <w:szCs w:val="28"/>
        </w:rPr>
        <w:t xml:space="preserve">5. ŠALIŲ ĮSIPAREIGOJIMAI IR PASEKMĖS</w:t>
      </w:r>
    </w:p>
    <w:p>
      <w:pPr>
        <w:pStyle w:val="Heading2"/>
        <w:spacing w:after="120" w:before="180"/>
      </w:pPr>
      <w:r>
        <w:rPr>
          <w:b/>
          <w:bCs/>
          <w:sz w:val="24"/>
          <w:szCs w:val="24"/>
        </w:rPr>
        <w:t xml:space="preserve">5.1. Tinkamas Pagrindinės sutarties įvykdymas</w:t>
      </w:r>
    </w:p>
    <w:p>
      <w:pPr>
        <w:spacing w:after="160"/>
      </w:pPr>
      <w:r>
        <w:rPr>
          <w:b w:val="false"/>
          <w:bCs w:val="false"/>
          <w:sz w:val="22"/>
          <w:szCs w:val="22"/>
        </w:rPr>
        <w:t xml:space="preserve">5.1.1. Šalys įsipareigoja tinkamai ir laiku įvykdyti visus iš Pagrindinės sutarties kylančius įsipareigojimus.</w:t>
      </w:r>
    </w:p>
    <w:p>
      <w:pPr>
        <w:spacing w:after="160"/>
      </w:pPr>
      <w:r>
        <w:rPr>
          <w:b w:val="false"/>
          <w:bCs w:val="false"/>
          <w:sz w:val="22"/>
          <w:szCs w:val="22"/>
        </w:rPr>
        <w:t xml:space="preserve">5.1.2. Tinkamai įvykdžius Pagrindinę sutartį, Rankpinigiai įskaitomi į Pagrindinės sutarties kainą. Rankpinigių davėjas papildomai sumoka Rankpinigių gavėjui likusią Pagrindinės sutarties kainos dalį, t. y. Pagrindinės sutarties kainą, sumažintą Rankpinigių suma.</w:t>
      </w:r>
    </w:p>
    <w:p>
      <w:pPr>
        <w:pStyle w:val="Heading2"/>
        <w:spacing w:after="120" w:before="180"/>
      </w:pPr>
      <w:r>
        <w:rPr>
          <w:b/>
          <w:bCs/>
          <w:sz w:val="24"/>
          <w:szCs w:val="24"/>
        </w:rPr>
        <w:t xml:space="preserve">5.2. Rankpinigių davėjo atsakomybė</w:t>
      </w:r>
    </w:p>
    <w:p>
      <w:pPr>
        <w:spacing w:after="160"/>
      </w:pPr>
      <w:r>
        <w:rPr>
          <w:b w:val="false"/>
          <w:bCs w:val="false"/>
          <w:sz w:val="22"/>
          <w:szCs w:val="22"/>
        </w:rPr>
        <w:t xml:space="preserve">5.2.1. Jeigu Pagrindinė sutartis neįvykdoma dėl </w:t>
      </w:r>
      <w:r>
        <w:rPr>
          <w:b/>
          <w:bCs/>
          <w:sz w:val="22"/>
          <w:szCs w:val="22"/>
        </w:rPr>
        <w:t xml:space="preserve">Rankpinigių davėjo kaltės</w:t>
      </w:r>
      <w:r>
        <w:rPr>
          <w:b w:val="false"/>
          <w:bCs w:val="false"/>
          <w:sz w:val="22"/>
          <w:szCs w:val="22"/>
        </w:rPr>
        <w:t xml:space="preserve"> (įskaitant nepagrįstą atsisakymą vykdyti, vengimą perimti daiktą ar priimti paslaugą, sumokėti likusią kainą ir kitas Rankpinigių davėjo veiksmais arba neveikimu sukeltas priežastis), Rankpinigiai </w:t>
      </w:r>
      <w:r>
        <w:rPr>
          <w:b/>
          <w:bCs/>
          <w:sz w:val="22"/>
          <w:szCs w:val="22"/>
        </w:rPr>
        <w:t xml:space="preserve">lieka Rankpinigių gavėjui</w:t>
      </w:r>
      <w:r>
        <w:rPr>
          <w:b w:val="false"/>
          <w:bCs w:val="false"/>
          <w:sz w:val="22"/>
          <w:szCs w:val="22"/>
        </w:rPr>
        <w:t xml:space="preserve"> (Civilinio kodekso 6.100 str.).</w:t>
      </w:r>
    </w:p>
    <w:p>
      <w:pPr>
        <w:spacing w:after="160"/>
      </w:pPr>
      <w:r>
        <w:rPr>
          <w:b w:val="false"/>
          <w:bCs w:val="false"/>
          <w:sz w:val="22"/>
          <w:szCs w:val="22"/>
        </w:rPr>
        <w:t xml:space="preserve">5.2.2. Rankpinigių davėjas neturi teisės reikalauti Rankpinigių grąžinimo 5.2.1 punkte numatytais atvejais.</w:t>
      </w:r>
    </w:p>
    <w:p>
      <w:pPr>
        <w:pStyle w:val="Heading2"/>
        <w:spacing w:after="120" w:before="180"/>
      </w:pPr>
      <w:r>
        <w:rPr>
          <w:b/>
          <w:bCs/>
          <w:sz w:val="24"/>
          <w:szCs w:val="24"/>
        </w:rPr>
        <w:t xml:space="preserve">5.3. Rankpinigių gavėjo atsakomybė</w:t>
      </w:r>
    </w:p>
    <w:p>
      <w:pPr>
        <w:spacing w:after="160"/>
      </w:pPr>
      <w:r>
        <w:rPr>
          <w:b w:val="false"/>
          <w:bCs w:val="false"/>
          <w:sz w:val="22"/>
          <w:szCs w:val="22"/>
        </w:rPr>
        <w:t xml:space="preserve">5.3.1. Jeigu Pagrindinė sutartis neįvykdoma dėl </w:t>
      </w:r>
      <w:r>
        <w:rPr>
          <w:b/>
          <w:bCs/>
          <w:sz w:val="22"/>
          <w:szCs w:val="22"/>
        </w:rPr>
        <w:t xml:space="preserve">Rankpinigių gavėjo kaltės</w:t>
      </w:r>
      <w:r>
        <w:rPr>
          <w:b w:val="false"/>
          <w:bCs w:val="false"/>
          <w:sz w:val="22"/>
          <w:szCs w:val="22"/>
        </w:rPr>
        <w:t xml:space="preserve"> (įskaitant nepagrįstą atsisakymą vykdyti, daikto neperdavimą, paslaugos nesuteikimą, daikto perleidimą tretiesiems asmenims ar kitas Rankpinigių gavėjo veiksmais arba neveikimu sukeltas priežastis), Rankpinigių gavėjas privalo grąžinti Rankpinigių davėjui </w:t>
      </w:r>
      <w:r>
        <w:rPr>
          <w:b/>
          <w:bCs/>
          <w:sz w:val="22"/>
          <w:szCs w:val="22"/>
        </w:rPr>
        <w:t xml:space="preserve">dvigubą Rankpinigių sumą</w:t>
      </w:r>
      <w:r>
        <w:rPr>
          <w:b w:val="false"/>
          <w:bCs w:val="false"/>
          <w:sz w:val="22"/>
          <w:szCs w:val="22"/>
        </w:rPr>
        <w:t xml:space="preserve">, t. y. </w:t>
      </w:r>
      <w:r>
        <w:rPr>
          <w:b/>
          <w:bCs/>
          <w:sz w:val="22"/>
          <w:szCs w:val="22"/>
        </w:rPr>
        <w:t xml:space="preserve">{{deposit_amount}} {{deposit_currency}} × 2</w:t>
      </w:r>
      <w:r>
        <w:rPr>
          <w:b w:val="false"/>
          <w:bCs w:val="false"/>
          <w:sz w:val="22"/>
          <w:szCs w:val="22"/>
        </w:rPr>
        <w:t xml:space="preserve"> (Civilinio kodekso 6.100 str.).</w:t>
      </w:r>
    </w:p>
    <w:p>
      <w:pPr>
        <w:spacing w:after="160"/>
      </w:pPr>
      <w:r>
        <w:rPr>
          <w:b w:val="false"/>
          <w:bCs w:val="false"/>
          <w:sz w:val="22"/>
          <w:szCs w:val="22"/>
        </w:rPr>
        <w:t xml:space="preserve">5.3.2. Dvigubos Rankpinigių sumos grąžinimo terminas — keturiolika (14) kalendorinių dienų nuo Rankpinigių gavėjo kaltės dėl Pagrindinės sutarties neįvykdymo nustatymo dienos arba nuo Rankpinigių davėjo rašytinio reikalavimo gavimo dienos, atsižvelgiant į tai, kuri data ankstesnė.</w:t>
      </w:r>
    </w:p>
    <w:p>
      <w:pPr>
        <w:pStyle w:val="Heading2"/>
        <w:spacing w:after="120" w:before="180"/>
      </w:pPr>
      <w:r>
        <w:rPr>
          <w:b/>
          <w:bCs/>
          <w:sz w:val="24"/>
          <w:szCs w:val="24"/>
        </w:rPr>
        <w:t xml:space="preserve">5.4. Nuostolių atlyginimas</w:t>
      </w:r>
    </w:p>
    <w:p>
      <w:pPr>
        <w:spacing w:after="160"/>
      </w:pPr>
      <w:r>
        <w:rPr>
          <w:b w:val="false"/>
          <w:bCs w:val="false"/>
          <w:sz w:val="22"/>
          <w:szCs w:val="22"/>
        </w:rPr>
        <w:t xml:space="preserve">5.4.1. Šalis, kalta dėl Pagrindinės sutarties neįvykdymo, papildomai atlygina kitai Šaliai nuostolius, viršijančius Rankpinigių sumą, jei Šalys raštu nesusitarė kitaip (Civilinio kodekso 6.100 str.). Rankpinigiai neatleidžia kaltos Šalies nuo prievolės atlyginti tikruosius patirtus nuostolius.</w:t>
      </w:r>
    </w:p>
    <w:p>
      <w:pPr>
        <w:pStyle w:val="Heading2"/>
        <w:spacing w:after="120" w:before="180"/>
      </w:pPr>
      <w:r>
        <w:rPr>
          <w:b/>
          <w:bCs/>
          <w:sz w:val="24"/>
          <w:szCs w:val="24"/>
        </w:rPr>
        <w:t xml:space="preserve">5.5. Abipusis nutraukimas ir nenugalima jėga</w:t>
      </w:r>
    </w:p>
    <w:p>
      <w:pPr>
        <w:spacing w:after="160"/>
      </w:pPr>
      <w:r>
        <w:rPr>
          <w:b w:val="false"/>
          <w:bCs w:val="false"/>
          <w:sz w:val="22"/>
          <w:szCs w:val="22"/>
        </w:rPr>
        <w:t xml:space="preserve">5.5.1. Jeigu Pagrindinė sutartis neįvykdoma dėl </w:t>
      </w:r>
      <w:r>
        <w:rPr>
          <w:b/>
          <w:bCs/>
          <w:sz w:val="22"/>
          <w:szCs w:val="22"/>
        </w:rPr>
        <w:t xml:space="preserve">abiejų Šalių abipusio susitarimo</w:t>
      </w:r>
      <w:r>
        <w:rPr>
          <w:b w:val="false"/>
          <w:bCs w:val="false"/>
          <w:sz w:val="22"/>
          <w:szCs w:val="22"/>
        </w:rPr>
        <w:t xml:space="preserve"> ją nutraukti arba dėl </w:t>
      </w:r>
      <w:r>
        <w:rPr>
          <w:b/>
          <w:bCs/>
          <w:sz w:val="22"/>
          <w:szCs w:val="22"/>
        </w:rPr>
        <w:t xml:space="preserve">nenugalimos jėgos (force majeure)</w:t>
      </w:r>
      <w:r>
        <w:rPr>
          <w:b w:val="false"/>
          <w:bCs w:val="false"/>
          <w:sz w:val="22"/>
          <w:szCs w:val="22"/>
        </w:rPr>
        <w:t xml:space="preserve"> aplinkybių pagal Civilinio kodekso 6.212 straipsnį, Rankpinigiai grąžinami Rankpinigių davėjui </w:t>
      </w:r>
      <w:r>
        <w:rPr>
          <w:b/>
          <w:bCs/>
          <w:sz w:val="22"/>
          <w:szCs w:val="22"/>
        </w:rPr>
        <w:t xml:space="preserve">paprasta tvarka, be dvigubinimo</w:t>
      </w:r>
      <w:r>
        <w:rPr>
          <w:b w:val="false"/>
          <w:bCs w:val="false"/>
          <w:sz w:val="22"/>
          <w:szCs w:val="22"/>
        </w:rPr>
        <w:t xml:space="preserve">, per keturiolika (14) kalendorinių dienų nuo atitinkamų aplinkybių nustatymo dienos.</w:t>
      </w:r>
    </w:p>
    <w:p>
      <w:pPr>
        <w:spacing w:after="160"/>
      </w:pPr>
      <w:r>
        <w:rPr>
          <w:b w:val="false"/>
          <w:bCs w:val="false"/>
          <w:sz w:val="22"/>
          <w:szCs w:val="22"/>
        </w:rPr>
        <w:t xml:space="preserve">5.5.2. Tokia pati grąžinimo tvarka taikoma ir tuo atveju, jeigu Pagrindinė sutartis pripažįstama negaliojančia dėl priežasčių, nesusijusių su kurios nors Šalies kalte.</w:t>
      </w:r>
    </w:p>
    <w:p>
      <w:pPr>
        <w:pStyle w:val="Heading1"/>
        <w:spacing w:after="160" w:before="240"/>
      </w:pPr>
      <w:r>
        <w:rPr>
          <w:b/>
          <w:bCs/>
          <w:sz w:val="28"/>
          <w:szCs w:val="28"/>
        </w:rPr>
        <w:t xml:space="preserve">6. SPECIALIOS SĄLYGOS</w:t>
      </w:r>
    </w:p>
    <w:p>
      <w:pPr>
        <w:pStyle w:val="Heading2"/>
        <w:spacing w:after="120" w:before="180"/>
      </w:pPr>
      <w:r>
        <w:rPr>
          <w:b/>
          <w:bCs/>
          <w:sz w:val="24"/>
          <w:szCs w:val="24"/>
        </w:rPr>
        <w:t xml:space="preserve">6.1. Finansavimo sąlyga (taikoma, jei užpildoma)</w:t>
      </w:r>
    </w:p>
    <w:p>
      <w:pPr>
        <w:spacing w:after="160"/>
      </w:pPr>
      <w:r>
        <w:rPr>
          <w:b w:val="false"/>
          <w:bCs w:val="false"/>
          <w:sz w:val="22"/>
          <w:szCs w:val="22"/>
        </w:rPr>
        <w:t xml:space="preserve">6.1.1. Šalys gali susitarti, kad Pagrindinės sutarties įvykdymas priklauso nuo to, ar Rankpinigių davėjas iki </w:t>
      </w:r>
      <w:r>
        <w:rPr>
          <w:b/>
          <w:bCs/>
          <w:sz w:val="22"/>
          <w:szCs w:val="22"/>
        </w:rPr>
        <w:t xml:space="preserve">{{financing_decision_deadline}}</w:t>
      </w:r>
      <w:r>
        <w:rPr>
          <w:b w:val="false"/>
          <w:bCs w:val="false"/>
          <w:sz w:val="22"/>
          <w:szCs w:val="22"/>
        </w:rPr>
        <w:t xml:space="preserve"> gauna teigiamą finansavimo sprendimą iš kreditoriaus </w:t>
      </w:r>
      <w:r>
        <w:rPr>
          <w:b/>
          <w:bCs/>
          <w:sz w:val="22"/>
          <w:szCs w:val="22"/>
        </w:rPr>
        <w:t xml:space="preserve">{{financing_lender}}</w:t>
      </w:r>
      <w:r>
        <w:rPr>
          <w:b w:val="false"/>
          <w:bCs w:val="false"/>
          <w:sz w:val="22"/>
          <w:szCs w:val="22"/>
        </w:rPr>
        <w:t xml:space="preserve">.</w:t>
      </w:r>
    </w:p>
    <w:p>
      <w:pPr>
        <w:spacing w:after="160"/>
      </w:pPr>
      <w:r>
        <w:rPr>
          <w:b w:val="false"/>
          <w:bCs w:val="false"/>
          <w:sz w:val="22"/>
          <w:szCs w:val="22"/>
        </w:rPr>
        <w:t xml:space="preserve">6.1.2. Jeigu Rankpinigių davėjas iki 6.1.1 punkte nurodyto termino negauna teigiamo finansavimo sprendimo ir per tris (3) darbo dienas raštu pateikia Rankpinigių gavėjui kredito įstaigos atsisakymą patvirtinantį dokumentą, Rankpinigiai laikomi grąžintinais </w:t>
      </w:r>
      <w:r>
        <w:rPr>
          <w:b/>
          <w:bCs/>
          <w:sz w:val="22"/>
          <w:szCs w:val="22"/>
        </w:rPr>
        <w:t xml:space="preserve">paprasta tvarka, be dvigubinimo</w:t>
      </w:r>
      <w:r>
        <w:rPr>
          <w:b w:val="false"/>
          <w:bCs w:val="false"/>
          <w:sz w:val="22"/>
          <w:szCs w:val="22"/>
        </w:rPr>
        <w:t xml:space="preserve"> ir be Rankpinigių davėjo atsakomybės pagal 5.2 punktą. Tokie Rankpinigiai grąžinami per keturiolika (14) kalendorinių dienų.</w:t>
      </w:r>
    </w:p>
    <w:p>
      <w:pPr>
        <w:spacing w:after="160"/>
      </w:pPr>
      <w:r>
        <w:rPr>
          <w:b w:val="false"/>
          <w:bCs w:val="false"/>
          <w:sz w:val="22"/>
          <w:szCs w:val="22"/>
        </w:rPr>
        <w:t xml:space="preserve">6.1.3. Jeigu Šalys šio punkto netaiko, atitinkami laukai paliekami tušti, o 6.1 punktas Šalims neprivalomas.</w:t>
      </w:r>
    </w:p>
    <w:p>
      <w:pPr>
        <w:pStyle w:val="Heading2"/>
        <w:spacing w:after="120" w:before="180"/>
      </w:pPr>
      <w:r>
        <w:rPr>
          <w:b/>
          <w:bCs/>
          <w:sz w:val="24"/>
          <w:szCs w:val="24"/>
        </w:rPr>
        <w:t xml:space="preserve">6.2. Pagrindinės sutarties įvykdymo termino pratęsimas</w:t>
      </w:r>
    </w:p>
    <w:p>
      <w:pPr>
        <w:spacing w:after="160"/>
      </w:pPr>
      <w:r>
        <w:rPr>
          <w:b w:val="false"/>
          <w:bCs w:val="false"/>
          <w:sz w:val="22"/>
          <w:szCs w:val="22"/>
        </w:rPr>
        <w:t xml:space="preserve">6.2.1. Pagrindinės sutarties įvykdymo terminas (4.1 punktas) gali būti pratęstas tik abiejų Šalių rašytiniu susitarimu, kuris yra šios Sutarties priedas. Termino pratęsimas nepakeičia Rankpinigių teisinės prigimties ir 5 skyriuje numatytų pasekmių.</w:t>
      </w:r>
    </w:p>
    <w:p>
      <w:pPr>
        <w:pStyle w:val="Heading2"/>
        <w:spacing w:after="120" w:before="180"/>
      </w:pPr>
      <w:r>
        <w:rPr>
          <w:b/>
          <w:bCs/>
          <w:sz w:val="24"/>
          <w:szCs w:val="24"/>
        </w:rPr>
        <w:t xml:space="preserve">6.3. Rašytinė forma yra imperatyvi</w:t>
      </w:r>
    </w:p>
    <w:p>
      <w:pPr>
        <w:spacing w:after="160"/>
      </w:pPr>
      <w:r>
        <w:rPr>
          <w:b w:val="false"/>
          <w:bCs w:val="false"/>
          <w:sz w:val="22"/>
          <w:szCs w:val="22"/>
        </w:rPr>
        <w:t xml:space="preserve">6.3.1. Šalys aiškiai patvirtina, kad pagal Civilinio kodekso 6.99 straipsnį </w:t>
      </w:r>
      <w:r>
        <w:rPr>
          <w:b/>
          <w:bCs/>
          <w:sz w:val="22"/>
          <w:szCs w:val="22"/>
        </w:rPr>
        <w:t xml:space="preserve">rašytinės formos reikalavimas yra imperatyvus</w:t>
      </w:r>
      <w:r>
        <w:rPr>
          <w:b w:val="false"/>
          <w:bCs w:val="false"/>
          <w:sz w:val="22"/>
          <w:szCs w:val="22"/>
        </w:rPr>
        <w:t xml:space="preserve">: jo nesilaikymas Rankpinigių susitarimą daro negaliojantį. Šis reikalavimas yra griežtesnis nei daugumos kitų civilinių sutarčių, kuriose rašytinės formos nesilaikymas lemia tik įrodinėjimo apribojimus.</w:t>
      </w:r>
    </w:p>
    <w:p>
      <w:pPr>
        <w:spacing w:after="160"/>
      </w:pPr>
      <w:r>
        <w:rPr>
          <w:b w:val="false"/>
          <w:bCs w:val="false"/>
          <w:sz w:val="22"/>
          <w:szCs w:val="22"/>
        </w:rPr>
        <w:t xml:space="preserve">6.3.2. Bet kokie šios Sutarties pakeitimai, papildymai, termino pratęsimai ir nutraukimo susitarimai galioja tik tuo atveju, jeigu jie sudaryti rašytine forma (įskaitant kvalifikuotu elektroniniu parašu pasirašytą elektroninį dokumentą) ir pasirašyti abiejų Šalių.</w:t>
      </w:r>
    </w:p>
    <w:p>
      <w:pPr>
        <w:pStyle w:val="Heading1"/>
        <w:spacing w:after="160" w:before="240"/>
      </w:pPr>
      <w:r>
        <w:rPr>
          <w:b/>
          <w:bCs/>
          <w:sz w:val="28"/>
          <w:szCs w:val="28"/>
        </w:rPr>
        <w:t xml:space="preserve">7. BAIGIAMOSIOS NUOSTATOS</w:t>
      </w:r>
    </w:p>
    <w:p>
      <w:pPr>
        <w:spacing w:after="160"/>
      </w:pPr>
      <w:r>
        <w:rPr>
          <w:b w:val="false"/>
          <w:bCs w:val="false"/>
          <w:sz w:val="22"/>
          <w:szCs w:val="22"/>
        </w:rPr>
        <w:t xml:space="preserve">7.1. Visi pranešimai pagal šią Sutartį Šalims siunčiami el. paštu, nurodytu 1 skyriuje, arba registruotu laišku 1 skyriuje nurodytais adresais. Pranešimas laikomas gautu el. paštą išsiuntus iki darbo dienos pabaigos arba praėjus penkioms (5) kalendorinėms dienoms nuo registruoto laiško išsiuntimo dienos.</w:t>
      </w:r>
    </w:p>
    <w:p>
      <w:pPr>
        <w:spacing w:after="160"/>
      </w:pPr>
      <w:r>
        <w:rPr>
          <w:b w:val="false"/>
          <w:bCs w:val="false"/>
          <w:sz w:val="22"/>
          <w:szCs w:val="22"/>
        </w:rPr>
        <w:t xml:space="preserve">7.2. Šalys ginčus, kylančius iš šios Sutarties, sprendžia visų pirma derybų keliu. Nepasiekus susitarimo, ginčai sprendžiami </w:t>
      </w:r>
      <w:r>
        <w:rPr>
          <w:b/>
          <w:bCs/>
          <w:sz w:val="22"/>
          <w:szCs w:val="22"/>
        </w:rPr>
        <w:t xml:space="preserve">{{governing_court}}</w:t>
      </w:r>
      <w:r>
        <w:rPr>
          <w:b w:val="false"/>
          <w:bCs w:val="false"/>
          <w:sz w:val="22"/>
          <w:szCs w:val="22"/>
        </w:rPr>
        <w:t xml:space="preserve"> pagal </w:t>
      </w:r>
      <w:r>
        <w:rPr>
          <w:b/>
          <w:bCs/>
          <w:sz w:val="22"/>
          <w:szCs w:val="22"/>
        </w:rPr>
        <w:t xml:space="preserve">{{governing_jurisdiction}}</w:t>
      </w:r>
      <w:r>
        <w:rPr>
          <w:b w:val="false"/>
          <w:bCs w:val="false"/>
          <w:sz w:val="22"/>
          <w:szCs w:val="22"/>
        </w:rPr>
        <w:t xml:space="preserve"> jurisdikciją.</w:t>
      </w:r>
    </w:p>
    <w:p>
      <w:pPr>
        <w:spacing w:after="160"/>
      </w:pPr>
      <w:r>
        <w:rPr>
          <w:b w:val="false"/>
          <w:bCs w:val="false"/>
          <w:sz w:val="22"/>
          <w:szCs w:val="22"/>
        </w:rPr>
        <w:t xml:space="preserve">7.3. Šiai Sutarčiai taikoma </w:t>
      </w:r>
      <w:r>
        <w:rPr>
          <w:b/>
          <w:bCs/>
          <w:sz w:val="22"/>
          <w:szCs w:val="22"/>
        </w:rPr>
        <w:t xml:space="preserve">Lietuvos Respublikos teisė</w:t>
      </w:r>
      <w:r>
        <w:rPr>
          <w:b w:val="false"/>
          <w:bCs w:val="false"/>
          <w:sz w:val="22"/>
          <w:szCs w:val="22"/>
        </w:rPr>
        <w:t xml:space="preserve">, įskaitant Civilinio kodekso 6.98–6.101 straipsnius.</w:t>
      </w:r>
    </w:p>
    <w:p>
      <w:pPr>
        <w:spacing w:after="160"/>
      </w:pPr>
      <w:r>
        <w:rPr>
          <w:b w:val="false"/>
          <w:bCs w:val="false"/>
          <w:sz w:val="22"/>
          <w:szCs w:val="22"/>
        </w:rPr>
        <w:t xml:space="preserve">7.4. Sutartis įsigalioja nuo Rankpinigių faktinio gavimo Rankpinigių gavėjo banko sąskaitoje (pavedimo atveju) arba Rankpinigių gavėjo pasirašyto kvito išdavimo momentu (grynųjų pinigų atveju, neviršijant teisės aktuose nustatyto grynųjų mokėjimo limito).</w:t>
      </w:r>
    </w:p>
    <w:p>
      <w:pPr>
        <w:spacing w:after="160"/>
      </w:pPr>
      <w:r>
        <w:rPr>
          <w:b w:val="false"/>
          <w:bCs w:val="false"/>
          <w:sz w:val="22"/>
          <w:szCs w:val="22"/>
        </w:rPr>
        <w:t xml:space="preserve">7.5. Sutartis sudaroma ir pasirašoma dviem vienodos teisinės galios egzemplioriais — po vieną kiekvienai Šaliai. Jeigu Sutartis pasirašoma kvalifikuotu elektroniniu parašu, ji yra vienas elektroninis egzempliorius, lygiavertis rašytinei formai.</w:t>
      </w:r>
    </w:p>
    <w:p>
      <w:pPr>
        <w:spacing w:after="160"/>
      </w:pPr>
      <w:r>
        <w:rPr>
          <w:b w:val="false"/>
          <w:bCs w:val="false"/>
          <w:sz w:val="22"/>
          <w:szCs w:val="22"/>
        </w:rPr>
        <w:t xml:space="preserve">7.6. Jei kuri nors Sutarties nuostata pasirodo negaliojanti, tai neturi įtakos likusių nuostatų galiojimui.</w:t>
      </w:r>
    </w:p>
    <w:p>
      <w:pPr>
        <w:pStyle w:val="Heading1"/>
        <w:spacing w:after="160" w:before="240"/>
      </w:pPr>
      <w:r>
        <w:rPr>
          <w:b/>
          <w:bCs/>
          <w:sz w:val="28"/>
          <w:szCs w:val="28"/>
        </w:rPr>
        <w:t xml:space="preserve">ŠALIŲ PARAŠAI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pct" w:w="33%"/>
            <w:tcMar>
              <w:top w:type="dxa" w:w="80"/>
              <w:left w:type="dxa" w:w="120"/>
              <w:bottom w:type="dxa" w:w="80"/>
              <w:right w:type="dxa" w:w="120"/>
            </w:tcMar>
          </w:tcPr>
          <w:p>
            <w:pPr>
              <w:spacing w:after="40" w:before="40"/>
            </w:pPr>
            <w:r>
              <w:rPr>
                <w:b w:val="false"/>
                <w:bCs w:val="false"/>
                <w:sz w:val="22"/>
                <w:szCs w:val="22"/>
              </w:rPr>
              <w:t xml:space="preserve"> </w:t>
            </w:r>
          </w:p>
        </w:tc>
        <w:tc>
          <w:tcPr>
            <w:tcW w:type="pct" w:w="33%"/>
            <w:tcMar>
              <w:top w:type="dxa" w:w="80"/>
              <w:left w:type="dxa" w:w="120"/>
              <w:bottom w:type="dxa" w:w="80"/>
              <w:right w:type="dxa" w:w="120"/>
            </w:tcMar>
          </w:tcPr>
          <w:p>
            <w:pPr>
              <w:spacing w:after="40" w:before="40"/>
            </w:pPr>
            <w:r>
              <w:rPr>
                <w:b w:val="false"/>
                <w:bCs w:val="false"/>
                <w:sz w:val="22"/>
                <w:szCs w:val="22"/>
              </w:rPr>
              <w:t xml:space="preserve">Rankpinigių davėjas</w:t>
            </w:r>
          </w:p>
        </w:tc>
        <w:tc>
          <w:tcPr>
            <w:tcW w:type="pct" w:w="33%"/>
            <w:tcMar>
              <w:top w:type="dxa" w:w="80"/>
              <w:left w:type="dxa" w:w="120"/>
              <w:bottom w:type="dxa" w:w="80"/>
              <w:right w:type="dxa" w:w="120"/>
            </w:tcMar>
          </w:tcPr>
          <w:p>
            <w:pPr>
              <w:spacing w:after="40" w:before="40"/>
            </w:pPr>
            <w:r>
              <w:rPr>
                <w:b w:val="false"/>
                <w:bCs w:val="false"/>
                <w:sz w:val="22"/>
                <w:szCs w:val="22"/>
              </w:rPr>
              <w:t xml:space="preserve">Rankpinigių gavėjas</w:t>
            </w:r>
          </w:p>
        </w:tc>
      </w:tr>
      <w:tr>
        <w:tc>
          <w:tcPr>
            <w:tcW w:type="pct" w:w="33%"/>
            <w:tcMar>
              <w:top w:type="dxa" w:w="80"/>
              <w:left w:type="dxa" w:w="120"/>
              <w:bottom w:type="dxa" w:w="80"/>
              <w:right w:type="dxa" w:w="120"/>
            </w:tcMar>
          </w:tcPr>
          <w:p>
            <w:pPr>
              <w:spacing w:after="40" w:before="40"/>
            </w:pPr>
            <w:r>
              <w:rPr>
                <w:b/>
                <w:bCs/>
                <w:sz w:val="22"/>
                <w:szCs w:val="22"/>
              </w:rPr>
              <w:t xml:space="preserve">Vardas, pavardė / Pavadinimas</w:t>
            </w:r>
          </w:p>
        </w:tc>
        <w:tc>
          <w:tcPr>
            <w:tcW w:type="pct" w:w="33%"/>
            <w:tcMar>
              <w:top w:type="dxa" w:w="80"/>
              <w:left w:type="dxa" w:w="120"/>
              <w:bottom w:type="dxa" w:w="80"/>
              <w:right w:type="dxa" w:w="120"/>
            </w:tcMar>
          </w:tcPr>
          <w:p>
            <w:pPr>
              <w:spacing w:after="40" w:before="40"/>
            </w:pPr>
            <w:r>
              <w:rPr>
                <w:b w:val="false"/>
                <w:bCs w:val="false"/>
                <w:sz w:val="22"/>
                <w:szCs w:val="22"/>
              </w:rPr>
              <w:t xml:space="preserve">{{party_a_name}}</w:t>
            </w:r>
          </w:p>
        </w:tc>
        <w:tc>
          <w:tcPr>
            <w:tcW w:type="pct" w:w="33%"/>
            <w:tcMar>
              <w:top w:type="dxa" w:w="80"/>
              <w:left w:type="dxa" w:w="120"/>
              <w:bottom w:type="dxa" w:w="80"/>
              <w:right w:type="dxa" w:w="120"/>
            </w:tcMar>
          </w:tcPr>
          <w:p>
            <w:pPr>
              <w:spacing w:after="40" w:before="40"/>
            </w:pPr>
            <w:r>
              <w:rPr>
                <w:b w:val="false"/>
                <w:bCs w:val="false"/>
                <w:sz w:val="22"/>
                <w:szCs w:val="22"/>
              </w:rPr>
              <w:t xml:space="preserve">{{party_b_name}}</w:t>
            </w:r>
          </w:p>
        </w:tc>
      </w:tr>
      <w:tr>
        <w:tc>
          <w:tcPr>
            <w:tcW w:type="pct" w:w="33%"/>
            <w:tcMar>
              <w:top w:type="dxa" w:w="80"/>
              <w:left w:type="dxa" w:w="120"/>
              <w:bottom w:type="dxa" w:w="80"/>
              <w:right w:type="dxa" w:w="120"/>
            </w:tcMar>
          </w:tcPr>
          <w:p>
            <w:pPr>
              <w:spacing w:after="40" w:before="40"/>
            </w:pPr>
            <w:r>
              <w:rPr>
                <w:b/>
                <w:bCs/>
                <w:sz w:val="22"/>
                <w:szCs w:val="22"/>
              </w:rPr>
              <w:t xml:space="preserve">Asmens kodas / Juridinio asmens kodas</w:t>
            </w:r>
          </w:p>
        </w:tc>
        <w:tc>
          <w:tcPr>
            <w:tcW w:type="pct" w:w="33%"/>
            <w:tcMar>
              <w:top w:type="dxa" w:w="80"/>
              <w:left w:type="dxa" w:w="120"/>
              <w:bottom w:type="dxa" w:w="80"/>
              <w:right w:type="dxa" w:w="120"/>
            </w:tcMar>
          </w:tcPr>
          <w:p>
            <w:pPr>
              <w:spacing w:after="40" w:before="40"/>
            </w:pPr>
            <w:r>
              <w:rPr>
                <w:b w:val="false"/>
                <w:bCs w:val="false"/>
                <w:sz w:val="22"/>
                <w:szCs w:val="22"/>
              </w:rPr>
              <w:t xml:space="preserve">{{party_a_code}}</w:t>
            </w:r>
          </w:p>
        </w:tc>
        <w:tc>
          <w:tcPr>
            <w:tcW w:type="pct" w:w="33%"/>
            <w:tcMar>
              <w:top w:type="dxa" w:w="80"/>
              <w:left w:type="dxa" w:w="120"/>
              <w:bottom w:type="dxa" w:w="80"/>
              <w:right w:type="dxa" w:w="120"/>
            </w:tcMar>
          </w:tcPr>
          <w:p>
            <w:pPr>
              <w:spacing w:after="40" w:before="40"/>
            </w:pPr>
            <w:r>
              <w:rPr>
                <w:b w:val="false"/>
                <w:bCs w:val="false"/>
                <w:sz w:val="22"/>
                <w:szCs w:val="22"/>
              </w:rPr>
              <w:t xml:space="preserve">{{party_b_code}}</w:t>
            </w:r>
          </w:p>
        </w:tc>
      </w:tr>
      <w:tr>
        <w:tc>
          <w:tcPr>
            <w:tcW w:type="pct" w:w="33%"/>
            <w:tcMar>
              <w:top w:type="dxa" w:w="80"/>
              <w:left w:type="dxa" w:w="120"/>
              <w:bottom w:type="dxa" w:w="80"/>
              <w:right w:type="dxa" w:w="120"/>
            </w:tcMar>
          </w:tcPr>
          <w:p>
            <w:pPr>
              <w:spacing w:after="40" w:before="40"/>
            </w:pPr>
            <w:r>
              <w:rPr>
                <w:b/>
                <w:bCs/>
                <w:sz w:val="22"/>
                <w:szCs w:val="22"/>
              </w:rPr>
              <w:t xml:space="preserve">Parašas</w:t>
            </w:r>
          </w:p>
        </w:tc>
        <w:tc>
          <w:tcPr>
            <w:tcW w:type="pct" w:w="33%"/>
            <w:tcMar>
              <w:top w:type="dxa" w:w="80"/>
              <w:left w:type="dxa" w:w="120"/>
              <w:bottom w:type="dxa" w:w="80"/>
              <w:right w:type="dxa" w:w="120"/>
            </w:tcMar>
          </w:tcPr>
          <w:p>
            <w:pPr>
              <w:spacing w:after="40" w:before="40"/>
            </w:pPr>
            <w:r>
              <w:rPr>
                <w:b/>
                <w:bCs/>
                <w:sz w:val="22"/>
                <w:szCs w:val="22"/>
              </w:rPr>
              <w:t xml:space="preserve">****</w:t>
            </w:r>
            <w:r>
              <w:rPr>
                <w:b/>
                <w:bCs/>
                <w:sz w:val="22"/>
                <w:szCs w:val="22"/>
              </w:rPr>
              <w:t xml:space="preserve">\_</w:t>
            </w:r>
            <w:r>
              <w:rPr>
                <w:b/>
                <w:bCs/>
                <w:sz w:val="22"/>
                <w:szCs w:val="22"/>
              </w:rPr>
              <w:t xml:space="preserve">****</w:t>
            </w:r>
          </w:p>
        </w:tc>
        <w:tc>
          <w:tcPr>
            <w:tcW w:type="pct" w:w="33%"/>
            <w:tcMar>
              <w:top w:type="dxa" w:w="80"/>
              <w:left w:type="dxa" w:w="120"/>
              <w:bottom w:type="dxa" w:w="80"/>
              <w:right w:type="dxa" w:w="120"/>
            </w:tcMar>
          </w:tcPr>
          <w:p>
            <w:pPr>
              <w:spacing w:after="40" w:before="40"/>
            </w:pPr>
            <w:r>
              <w:rPr>
                <w:b/>
                <w:bCs/>
                <w:sz w:val="22"/>
                <w:szCs w:val="22"/>
              </w:rPr>
              <w:t xml:space="preserve">****</w:t>
            </w:r>
            <w:r>
              <w:rPr>
                <w:b/>
                <w:bCs/>
                <w:sz w:val="22"/>
                <w:szCs w:val="22"/>
              </w:rPr>
              <w:t xml:space="preserve">\_</w:t>
            </w:r>
            <w:r>
              <w:rPr>
                <w:b/>
                <w:bCs/>
                <w:sz w:val="22"/>
                <w:szCs w:val="22"/>
              </w:rPr>
              <w:t xml:space="preserve">****</w:t>
            </w:r>
          </w:p>
        </w:tc>
      </w:tr>
      <w:tr>
        <w:tc>
          <w:tcPr>
            <w:tcW w:type="pct" w:w="33%"/>
            <w:tcMar>
              <w:top w:type="dxa" w:w="80"/>
              <w:left w:type="dxa" w:w="120"/>
              <w:bottom w:type="dxa" w:w="80"/>
              <w:right w:type="dxa" w:w="120"/>
            </w:tcMar>
          </w:tcPr>
          <w:p>
            <w:pPr>
              <w:spacing w:after="40" w:before="40"/>
            </w:pPr>
            <w:r>
              <w:rPr>
                <w:b/>
                <w:bCs/>
                <w:sz w:val="22"/>
                <w:szCs w:val="22"/>
              </w:rPr>
              <w:t xml:space="preserve">Data</w:t>
            </w:r>
          </w:p>
        </w:tc>
        <w:tc>
          <w:tcPr>
            <w:tcW w:type="pct" w:w="33%"/>
            <w:tcMar>
              <w:top w:type="dxa" w:w="80"/>
              <w:left w:type="dxa" w:w="120"/>
              <w:bottom w:type="dxa" w:w="80"/>
              <w:right w:type="dxa" w:w="120"/>
            </w:tcMar>
          </w:tcPr>
          <w:p>
            <w:pPr>
              <w:spacing w:after="40" w:before="40"/>
            </w:pPr>
            <w:r>
              <w:rPr>
                <w:b w:val="false"/>
                <w:bCs w:val="false"/>
                <w:sz w:val="22"/>
                <w:szCs w:val="22"/>
              </w:rPr>
              <w:t xml:space="preserve">{{signature_date}}</w:t>
            </w:r>
          </w:p>
        </w:tc>
        <w:tc>
          <w:tcPr>
            <w:tcW w:type="pct" w:w="33%"/>
            <w:tcMar>
              <w:top w:type="dxa" w:w="80"/>
              <w:left w:type="dxa" w:w="120"/>
              <w:bottom w:type="dxa" w:w="80"/>
              <w:right w:type="dxa" w:w="120"/>
            </w:tcMar>
          </w:tcPr>
          <w:p>
            <w:pPr>
              <w:spacing w:after="40" w:before="40"/>
            </w:pPr>
            <w:r>
              <w:rPr>
                <w:b w:val="false"/>
                <w:bCs w:val="false"/>
                <w:sz w:val="22"/>
                <w:szCs w:val="22"/>
              </w:rPr>
              <w:t xml:space="preserve">{{signature_date}}</w:t>
            </w:r>
          </w:p>
        </w:tc>
      </w:tr>
    </w:tbl>
    <w:p>
      <w:pPr>
        <w:spacing w:after="120"/>
      </w:pPr>
      <w:r>
        <w:rPr>
          <w:sz w:val="22"/>
          <w:szCs w:val="22"/>
        </w:rPr>
        <w:t xml:space="preserve"/>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Rankpinigių sutarties šablonas</dc:title>
  <dc:creator>Agrello</dc:creator>
  <cp:lastModifiedBy>Un-named</cp:lastModifiedBy>
  <cp:revision>1</cp:revision>
  <dcterms:created xsi:type="dcterms:W3CDTF">2026-05-29T10:04:54.189Z</dcterms:created>
  <dcterms:modified xsi:type="dcterms:W3CDTF">2026-05-29T10:04:54.189Z</dcterms:modified>
</cp:coreProperties>
</file>

<file path=docProps/custom.xml><?xml version="1.0" encoding="utf-8"?>
<Properties xmlns="http://schemas.openxmlformats.org/officeDocument/2006/custom-properties" xmlns:vt="http://schemas.openxmlformats.org/officeDocument/2006/docPropsVTypes"/>
</file>