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ROKAS NAUDAS LĪGUMS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PUSES</w:t>
      </w:r>
    </w:p>
    <w:p>
      <w:pPr>
        <w:spacing w:after="160"/>
      </w:pPr>
      <w:r>
        <w:rPr>
          <w:b/>
          <w:bCs/>
          <w:sz w:val="22"/>
          <w:szCs w:val="22"/>
        </w:rPr>
        <w:t xml:space="preserve">Rokas naudas devējs: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Reģistrācijas Nr.</w:t>
            </w:r>
          </w:p>
        </w:tc>
        <w:tc>
          <w:tcPr>
            <w:tcW w:type="pct" w:w="50%"/>
            <w:tcMar>
              <w:top w:type="dxa" w:w="80"/>
              <w:left w:type="dxa" w:w="120"/>
              <w:bottom w:type="dxa" w:w="80"/>
              <w:right w:type="dxa" w:w="120"/>
            </w:tcMar>
          </w:tcPr>
          <w:p>
            <w:pPr>
              <w:spacing w:after="40" w:before="40"/>
            </w:pPr>
            <w:r>
              <w:rPr>
                <w:b w:val="false"/>
                <w:bCs w:val="false"/>
                <w:sz w:val="22"/>
                <w:szCs w:val="22"/>
              </w:rPr>
              <w:t xml:space="preserve">{{party_a_code}}</w:t>
            </w:r>
          </w:p>
        </w:tc>
      </w:tr>
      <w:tr>
        <w:tc>
          <w:tcPr>
            <w:tcW w:type="pct" w:w="50%"/>
            <w:tcMar>
              <w:top w:type="dxa" w:w="80"/>
              <w:left w:type="dxa" w:w="120"/>
              <w:bottom w:type="dxa" w:w="80"/>
              <w:right w:type="dxa" w:w="120"/>
            </w:tcMar>
          </w:tcPr>
          <w:p>
            <w:pPr>
              <w:spacing w:after="40" w:before="40"/>
            </w:pPr>
            <w:r>
              <w:rPr>
                <w:b/>
                <w:bCs/>
                <w:sz w:val="22"/>
                <w:szCs w:val="22"/>
              </w:rPr>
              <w:t xml:space="preserve">Deklarētā dzīvesvieta / Juridiskā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{{party_a_address}}</w:t>
            </w:r>
          </w:p>
        </w:tc>
      </w:tr>
      <w:tr>
        <w:tc>
          <w:tcPr>
            <w:tcW w:type="pct" w:w="50%"/>
            <w:tcMar>
              <w:top w:type="dxa" w:w="80"/>
              <w:left w:type="dxa" w:w="120"/>
              <w:bottom w:type="dxa" w:w="80"/>
              <w:right w:type="dxa" w:w="120"/>
            </w:tcMar>
          </w:tcPr>
          <w:p>
            <w:pPr>
              <w:spacing w:after="40" w:before="40"/>
            </w:pPr>
            <w:r>
              <w:rPr>
                <w:b/>
                <w:bCs/>
                <w:sz w:val="22"/>
                <w:szCs w:val="22"/>
              </w:rPr>
              <w:t xml:space="preserve">Pārstāvis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{{party_a_representative}}</w:t>
            </w:r>
          </w:p>
        </w:tc>
      </w:tr>
      <w:tr>
        <w:tc>
          <w:tcPr>
            <w:tcW w:type="pct" w:w="50%"/>
            <w:tcMar>
              <w:top w:type="dxa" w:w="80"/>
              <w:left w:type="dxa" w:w="120"/>
              <w:bottom w:type="dxa" w:w="80"/>
              <w:right w:type="dxa" w:w="120"/>
            </w:tcMar>
          </w:tcPr>
          <w:p>
            <w:pPr>
              <w:spacing w:after="40" w:before="40"/>
            </w:pPr>
            <w:r>
              <w:rPr>
                <w:b/>
                <w:bCs/>
                <w:sz w:val="22"/>
                <w:szCs w:val="22"/>
              </w:rPr>
              <w:t xml:space="preserve">E-pasts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{{party_a_email}}</w:t>
            </w:r>
          </w:p>
        </w:tc>
      </w:tr>
      <w:tr>
        <w:tc>
          <w:tcPr>
            <w:tcW w:type="pct" w:w="50%"/>
            <w:tcMar>
              <w:top w:type="dxa" w:w="80"/>
              <w:left w:type="dxa" w:w="120"/>
              <w:bottom w:type="dxa" w:w="80"/>
              <w:right w:type="dxa" w:w="120"/>
            </w:tcMar>
          </w:tcPr>
          <w:p>
            <w:pPr>
              <w:spacing w:after="40" w:before="40"/>
            </w:pPr>
            <w:r>
              <w:rPr>
                <w:b/>
                <w:bCs/>
                <w:sz w:val="22"/>
                <w:szCs w:val="22"/>
              </w:rPr>
              <w:t xml:space="preserve">Tālrunis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{{party_a_phone}}</w:t>
            </w:r>
          </w:p>
        </w:tc>
      </w:tr>
    </w:tbl>
    <w:p>
      <w:pPr>
        <w:spacing w:after="120"/>
      </w:pPr>
      <w:r>
        <w:rPr>
          <w:sz w:val="22"/>
          <w:szCs w:val="22"/>
        </w:rPr>
        <w:t xml:space="preserve"/>
      </w:r>
    </w:p>
    <w:p>
      <w:pPr>
        <w:spacing w:after="160"/>
      </w:pPr>
      <w:r>
        <w:rPr>
          <w:b/>
          <w:bCs/>
          <w:sz w:val="22"/>
          <w:szCs w:val="22"/>
        </w:rPr>
        <w:t xml:space="preserve">Rokas naudas saņēmējs: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Reģistrācijas Nr.</w:t>
            </w:r>
          </w:p>
        </w:tc>
        <w:tc>
          <w:tcPr>
            <w:tcW w:type="pct" w:w="50%"/>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50%"/>
            <w:tcMar>
              <w:top w:type="dxa" w:w="80"/>
              <w:left w:type="dxa" w:w="120"/>
              <w:bottom w:type="dxa" w:w="80"/>
              <w:right w:type="dxa" w:w="120"/>
            </w:tcMar>
          </w:tcPr>
          <w:p>
            <w:pPr>
              <w:spacing w:after="40" w:before="40"/>
            </w:pPr>
            <w:r>
              <w:rPr>
                <w:b/>
                <w:bCs/>
                <w:sz w:val="22"/>
                <w:szCs w:val="22"/>
              </w:rPr>
              <w:t xml:space="preserve">Deklarētā dzīvesvieta / Juridiskā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{{party_b_address}}</w:t>
            </w:r>
          </w:p>
        </w:tc>
      </w:tr>
      <w:tr>
        <w:tc>
          <w:tcPr>
            <w:tcW w:type="pct" w:w="50%"/>
            <w:tcMar>
              <w:top w:type="dxa" w:w="80"/>
              <w:left w:type="dxa" w:w="120"/>
              <w:bottom w:type="dxa" w:w="80"/>
              <w:right w:type="dxa" w:w="120"/>
            </w:tcMar>
          </w:tcPr>
          <w:p>
            <w:pPr>
              <w:spacing w:after="40" w:before="40"/>
            </w:pPr>
            <w:r>
              <w:rPr>
                <w:b/>
                <w:bCs/>
                <w:sz w:val="22"/>
                <w:szCs w:val="22"/>
              </w:rPr>
              <w:t xml:space="preserve">Pārstāvis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{{party_b_representative}}</w:t>
            </w:r>
          </w:p>
        </w:tc>
      </w:tr>
      <w:tr>
        <w:tc>
          <w:tcPr>
            <w:tcW w:type="pct" w:w="50%"/>
            <w:tcMar>
              <w:top w:type="dxa" w:w="80"/>
              <w:left w:type="dxa" w:w="120"/>
              <w:bottom w:type="dxa" w:w="80"/>
              <w:right w:type="dxa" w:w="120"/>
            </w:tcMar>
          </w:tcPr>
          <w:p>
            <w:pPr>
              <w:spacing w:after="40" w:before="40"/>
            </w:pPr>
            <w:r>
              <w:rPr>
                <w:b/>
                <w:bCs/>
                <w:sz w:val="22"/>
                <w:szCs w:val="22"/>
              </w:rPr>
              <w:t xml:space="preserve">E-pasts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{{party_b_email}}</w:t>
            </w:r>
          </w:p>
        </w:tc>
      </w:tr>
      <w:tr>
        <w:tc>
          <w:tcPr>
            <w:tcW w:type="pct" w:w="50%"/>
            <w:tcMar>
              <w:top w:type="dxa" w:w="80"/>
              <w:left w:type="dxa" w:w="120"/>
              <w:bottom w:type="dxa" w:w="80"/>
              <w:right w:type="dxa" w:w="120"/>
            </w:tcMar>
          </w:tcPr>
          <w:p>
            <w:pPr>
              <w:spacing w:after="40" w:before="40"/>
            </w:pPr>
            <w:r>
              <w:rPr>
                <w:b/>
                <w:bCs/>
                <w:sz w:val="22"/>
                <w:szCs w:val="22"/>
              </w:rPr>
              <w:t xml:space="preserve">Tālrunis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{{party_b_phone}}</w:t>
            </w:r>
          </w:p>
        </w:tc>
      </w:tr>
    </w:tbl>
    <w:p>
      <w:pPr>
        <w:spacing w:after="120"/>
      </w:pPr>
      <w:r>
        <w:rPr>
          <w:sz w:val="22"/>
          <w:szCs w:val="22"/>
        </w:rPr>
        <w:t xml:space="preserve"/>
      </w:r>
    </w:p>
    <w:p>
      <w:pPr>
        <w:spacing w:after="160"/>
      </w:pPr>
      <w:r>
        <w:rPr>
          <w:b w:val="false"/>
          <w:bCs w:val="false"/>
          <w:sz w:val="22"/>
          <w:szCs w:val="22"/>
        </w:rPr>
        <w:t xml:space="preserve">Rokas naudas devējs un Rokas naudas saņēmējs (turpmāk kopā — „Puses", katrs atsevišķi — „Puse") noslēdz šo rokas naudas līgumu (turpmāk — „Līgums") par sekojošo.</w:t>
      </w:r>
    </w:p>
    <w:p>
      <w:pPr>
        <w:pStyle w:val="Heading1"/>
        <w:spacing w:after="160" w:before="240"/>
      </w:pPr>
      <w:r>
        <w:rPr>
          <w:b/>
          <w:bCs/>
          <w:sz w:val="28"/>
          <w:szCs w:val="28"/>
        </w:rPr>
        <w:t xml:space="preserve">2. LĪGUMA PRIEKŠMETS</w:t>
      </w:r>
    </w:p>
    <w:p>
      <w:pPr>
        <w:spacing w:after="160"/>
      </w:pPr>
      <w:r>
        <w:rPr>
          <w:b w:val="false"/>
          <w:bCs w:val="false"/>
          <w:sz w:val="22"/>
          <w:szCs w:val="22"/>
        </w:rPr>
        <w:t xml:space="preserve">2.1. Saskaņā ar šo Līgumu Rokas naudas devējs nodod Rokas naudas saņēmējam </w:t>
      </w:r>
      <w:r>
        <w:rPr>
          <w:b/>
          <w:bCs/>
          <w:sz w:val="22"/>
          <w:szCs w:val="22"/>
        </w:rPr>
        <w:t xml:space="preserve">rokas naudu</w:t>
      </w:r>
      <w:r>
        <w:rPr>
          <w:b w:val="false"/>
          <w:bCs w:val="false"/>
          <w:sz w:val="22"/>
          <w:szCs w:val="22"/>
        </w:rPr>
        <w:t xml:space="preserve"> Civillikuma 1725.–1731. panta izpratnē kā Pušu plānotā galvenā līguma (4. punkts) noslēgšanas pierādījumu un izpildījuma nodrošinājumu.</w:t>
      </w:r>
    </w:p>
    <w:p>
      <w:pPr>
        <w:spacing w:after="160"/>
      </w:pPr>
      <w:r>
        <w:rPr>
          <w:b w:val="false"/>
          <w:bCs w:val="false"/>
          <w:sz w:val="22"/>
          <w:szCs w:val="22"/>
        </w:rPr>
        <w:t xml:space="preserve">2.2. Rokas naudas apmērs ir </w:t>
      </w:r>
      <w:r>
        <w:rPr>
          <w:b/>
          <w:bCs/>
          <w:sz w:val="22"/>
          <w:szCs w:val="22"/>
        </w:rPr>
        <w:t xml:space="preserve">{{deposit_amount}} {{deposit_currency}}</w:t>
      </w:r>
      <w:r>
        <w:rPr>
          <w:b w:val="false"/>
          <w:bCs w:val="false"/>
          <w:sz w:val="22"/>
          <w:szCs w:val="22"/>
        </w:rPr>
        <w:t xml:space="preserve"> (vārdiem norādītā summa precizējama Pušu vienošanās ceļā).</w:t>
      </w:r>
    </w:p>
    <w:p>
      <w:pPr>
        <w:spacing w:after="160"/>
      </w:pPr>
      <w:r>
        <w:rPr>
          <w:b w:val="false"/>
          <w:bCs w:val="false"/>
          <w:sz w:val="22"/>
          <w:szCs w:val="22"/>
        </w:rPr>
        <w:t xml:space="preserve">2.3. Rokas naudas devējs samaksā rokas naudu </w:t>
      </w:r>
      <w:r>
        <w:rPr>
          <w:b/>
          <w:bCs/>
          <w:sz w:val="22"/>
          <w:szCs w:val="22"/>
        </w:rPr>
        <w:t xml:space="preserve">{{deposit_payment_method}}</w:t>
      </w:r>
      <w:r>
        <w:rPr>
          <w:b w:val="false"/>
          <w:bCs w:val="false"/>
          <w:sz w:val="22"/>
          <w:szCs w:val="22"/>
        </w:rPr>
        <w:t xml:space="preserve"> uz Rokas naudas saņēmēja kontu {{deposit_account}} ne vēlāk kā </w:t>
      </w:r>
      <w:r>
        <w:rPr>
          <w:b/>
          <w:bCs/>
          <w:sz w:val="22"/>
          <w:szCs w:val="22"/>
        </w:rPr>
        <w:t xml:space="preserve">{{deposit_payment_deadline}}</w:t>
      </w:r>
      <w:r>
        <w:rPr>
          <w:b w:val="false"/>
          <w:bCs w:val="false"/>
          <w:sz w:val="22"/>
          <w:szCs w:val="22"/>
        </w:rPr>
        <w:t xml:space="preserve">.</w:t>
      </w:r>
    </w:p>
    <w:p>
      <w:pPr>
        <w:spacing w:after="160"/>
      </w:pPr>
      <w:r>
        <w:rPr>
          <w:b w:val="false"/>
          <w:bCs w:val="false"/>
          <w:sz w:val="22"/>
          <w:szCs w:val="22"/>
        </w:rPr>
        <w:t xml:space="preserve">2.4. Rokas nauda uzskatāma par nodotu un Līgums — par stājušos spēkā tikai brīdī, kad rokas naudas summa faktiski ir saņemta Rokas naudas saņēmēja kontā vai apliecināta ar parakstītu kvīti (Civillikuma 1727. pants).</w:t>
      </w:r>
    </w:p>
    <w:p>
      <w:pPr>
        <w:spacing w:after="160"/>
      </w:pPr>
      <w:r>
        <w:rPr>
          <w:b w:val="false"/>
          <w:bCs w:val="false"/>
          <w:sz w:val="22"/>
          <w:szCs w:val="22"/>
        </w:rPr>
        <w:t xml:space="preserve">2.5. Puses skaidri vienojas, ka maksājums tiek kvalificēts kā </w:t>
      </w:r>
      <w:r>
        <w:rPr>
          <w:b/>
          <w:bCs/>
          <w:sz w:val="22"/>
          <w:szCs w:val="22"/>
        </w:rPr>
        <w:t xml:space="preserve">rokas nauda</w:t>
      </w:r>
      <w:r>
        <w:rPr>
          <w:b w:val="false"/>
          <w:bCs w:val="false"/>
          <w:sz w:val="22"/>
          <w:szCs w:val="22"/>
        </w:rPr>
        <w:t xml:space="preserve"> (nevis avanss, iemaksa, rezervācijas vai depozīta maksa) un uz to pilnā apmērā attiecas Civillikuma 1725.–1731. panta tiesiskais režīms.</w:t>
      </w:r>
    </w:p>
    <w:p>
      <w:pPr>
        <w:pStyle w:val="Heading1"/>
        <w:spacing w:after="160" w:before="240"/>
      </w:pPr>
      <w:r>
        <w:rPr>
          <w:b/>
          <w:bCs/>
          <w:sz w:val="28"/>
          <w:szCs w:val="28"/>
        </w:rPr>
        <w:t xml:space="preserve">3. ROKAS NAUDAS JURIDISKĀ DABA</w:t>
      </w:r>
    </w:p>
    <w:p>
      <w:pPr>
        <w:spacing w:after="160"/>
      </w:pPr>
      <w:r>
        <w:rPr>
          <w:b w:val="false"/>
          <w:bCs w:val="false"/>
          <w:sz w:val="22"/>
          <w:szCs w:val="22"/>
        </w:rPr>
        <w:t xml:space="preserve">3.1. Rokas nauda ir saistību tiesību pastiprināšanas instruments, kas atbilstoši Civillikuma 1725. pantam pilda divkāršu funkciju: tā ir gan galvenā līguma noslēgšanas pierādījums, gan tā izpildījuma nodrošinājums.</w:t>
      </w:r>
    </w:p>
    <w:p>
      <w:pPr>
        <w:spacing w:after="160"/>
      </w:pPr>
      <w:r>
        <w:rPr>
          <w:b w:val="false"/>
          <w:bCs w:val="false"/>
          <w:sz w:val="22"/>
          <w:szCs w:val="22"/>
        </w:rPr>
        <w:t xml:space="preserve">3.2. Puses apliecina, ka tām ir zināma rokas naudas un avansa juridiskā atšķirība. Avanss ir vienkārša priekšapmaksa, kas darījuma neiestāšanās gadījumā tiek atdota neatkarīgi no Pušu vainas; rokas naudai turpretī piemērojamas Civillikuma 1729.–1731. pantā paredzētās sekas, tostarp dubultās atmaksas sankcija.</w:t>
      </w:r>
    </w:p>
    <w:p>
      <w:pPr>
        <w:spacing w:after="160"/>
      </w:pPr>
      <w:r>
        <w:rPr>
          <w:b w:val="false"/>
          <w:bCs w:val="false"/>
          <w:sz w:val="22"/>
          <w:szCs w:val="22"/>
        </w:rPr>
        <w:t xml:space="preserve">3.3. Rokas nauda nav ne avanss, ne drošības nauda Dzīvojamo telpu īres likuma 12. panta izpratnē, ne arī līgumsods Civillikuma 1716. panta izpratnē.</w:t>
      </w:r>
    </w:p>
    <w:p>
      <w:pPr>
        <w:spacing w:after="160"/>
      </w:pPr>
      <w:r>
        <w:rPr>
          <w:b w:val="false"/>
          <w:bCs w:val="false"/>
          <w:sz w:val="22"/>
          <w:szCs w:val="22"/>
        </w:rPr>
        <w:t xml:space="preserve">3.4. Puses apliecina, ka rokas naudas apmērs ir samērīgs ar galvenā līguma summu un Pušu mantisko stāvokli un nav vērtējams kā netaisnīgs vai nesamērīgs noteikums.</w:t>
      </w:r>
    </w:p>
    <w:p>
      <w:pPr>
        <w:pStyle w:val="Heading1"/>
        <w:spacing w:after="160" w:before="240"/>
      </w:pPr>
      <w:r>
        <w:rPr>
          <w:b/>
          <w:bCs/>
          <w:sz w:val="28"/>
          <w:szCs w:val="28"/>
        </w:rPr>
        <w:t xml:space="preserve">4. GALVENAIS LĪGUMS</w:t>
      </w:r>
    </w:p>
    <w:p>
      <w:pPr>
        <w:spacing w:after="160"/>
      </w:pPr>
      <w:r>
        <w:rPr>
          <w:b w:val="false"/>
          <w:bCs w:val="false"/>
          <w:sz w:val="22"/>
          <w:szCs w:val="22"/>
        </w:rPr>
        <w:t xml:space="preserve">4.1. Šī Līguma izpratnē galvenais līgums (turpmāk — „Galvenais līgums") ir Pušu plānotais </w:t>
      </w:r>
      <w:r>
        <w:rPr>
          <w:b/>
          <w:bCs/>
          <w:sz w:val="22"/>
          <w:szCs w:val="22"/>
        </w:rPr>
        <w:t xml:space="preserve">{{main_contract_type}}</w:t>
      </w:r>
      <w:r>
        <w:rPr>
          <w:b w:val="false"/>
          <w:bCs w:val="false"/>
          <w:sz w:val="22"/>
          <w:szCs w:val="22"/>
        </w:rPr>
        <w:t xml:space="preserve">, kura priekšmets ir:</w:t>
      </w:r>
    </w:p>
    <w:p>
      <w:pPr>
        <w:spacing w:after="160"/>
      </w:pPr>
      <w:r>
        <w:rPr>
          <w:b w:val="false"/>
          <w:bCs w:val="false"/>
          <w:sz w:val="22"/>
          <w:szCs w:val="22"/>
        </w:rPr>
        <w:t xml:space="preserve">{{main_contract_subject}}</w:t>
      </w:r>
    </w:p>
    <w:p>
      <w:pPr>
        <w:spacing w:after="160"/>
      </w:pPr>
      <w:r>
        <w:rPr>
          <w:b w:val="false"/>
          <w:bCs w:val="false"/>
          <w:sz w:val="22"/>
          <w:szCs w:val="22"/>
        </w:rPr>
        <w:t xml:space="preserve">4.2. Galvenā līguma kopējā cena ir </w:t>
      </w:r>
      <w:r>
        <w:rPr>
          <w:b/>
          <w:bCs/>
          <w:sz w:val="22"/>
          <w:szCs w:val="22"/>
        </w:rPr>
        <w:t xml:space="preserve">{{main_contract_total_price}}</w:t>
      </w:r>
      <w:r>
        <w:rPr>
          <w:b w:val="false"/>
          <w:bCs w:val="false"/>
          <w:sz w:val="22"/>
          <w:szCs w:val="22"/>
        </w:rPr>
        <w:t xml:space="preserve">, kuras maksāšanas kārtību Puses pielīgst Galvenajā līgumā.</w:t>
      </w:r>
    </w:p>
    <w:p>
      <w:pPr>
        <w:spacing w:after="160"/>
      </w:pPr>
      <w:r>
        <w:rPr>
          <w:b w:val="false"/>
          <w:bCs w:val="false"/>
          <w:sz w:val="22"/>
          <w:szCs w:val="22"/>
        </w:rPr>
        <w:t xml:space="preserve">4.3. Puses apņemas noslēgt Galveno līgumu ne vēlāk kā </w:t>
      </w:r>
      <w:r>
        <w:rPr>
          <w:b/>
          <w:bCs/>
          <w:sz w:val="22"/>
          <w:szCs w:val="22"/>
        </w:rPr>
        <w:t xml:space="preserve">{{main_contract_signing_deadline}}</w:t>
      </w:r>
      <w:r>
        <w:rPr>
          <w:b w:val="false"/>
          <w:bCs w:val="false"/>
          <w:sz w:val="22"/>
          <w:szCs w:val="22"/>
        </w:rPr>
        <w:t xml:space="preserve">.</w:t>
      </w:r>
    </w:p>
    <w:p>
      <w:pPr>
        <w:spacing w:after="160"/>
      </w:pPr>
      <w:r>
        <w:rPr>
          <w:b w:val="false"/>
          <w:bCs w:val="false"/>
          <w:sz w:val="22"/>
          <w:szCs w:val="22"/>
        </w:rPr>
        <w:t xml:space="preserve">4.4. Rokas naudas saņēmējs apliecina, ka Galvenā līguma priekšmets pieder vai piederēs viņam uz tiesiska pamata, ka tam nav apslēptu apgrūtinājumu, tiesvedības vai trešo personu prasījumu, kas liegtu Galvenā līguma noslēgšanu pielīgtajā termiņā, un ka viņš nav noslēdzis pretrunīgas saistības ar trešajām personām attiecībā uz to pašu priekšmetu.</w:t>
      </w:r>
    </w:p>
    <w:p>
      <w:pPr>
        <w:spacing w:after="160"/>
      </w:pPr>
      <w:r>
        <w:rPr>
          <w:b w:val="false"/>
          <w:bCs w:val="false"/>
          <w:sz w:val="22"/>
          <w:szCs w:val="22"/>
        </w:rPr>
        <w:t xml:space="preserve">4.5. Rokas naudas devējs apliecina, ka tam ir nodoms un finansiālā kapacitāte noslēgt Galveno līgumu pielīgtajā termiņā.</w:t>
      </w:r>
    </w:p>
    <w:p>
      <w:pPr>
        <w:pStyle w:val="Heading1"/>
        <w:spacing w:after="160" w:before="240"/>
      </w:pPr>
      <w:r>
        <w:rPr>
          <w:b/>
          <w:bCs/>
          <w:sz w:val="28"/>
          <w:szCs w:val="28"/>
        </w:rPr>
        <w:t xml:space="preserve">5. PUŠU SAISTĪBAS UN SEKAS</w:t>
      </w:r>
    </w:p>
    <w:p>
      <w:pPr>
        <w:spacing w:after="160"/>
      </w:pPr>
      <w:r>
        <w:rPr>
          <w:b w:val="false"/>
          <w:bCs w:val="false"/>
          <w:sz w:val="22"/>
          <w:szCs w:val="22"/>
        </w:rPr>
        <w:t xml:space="preserve">5.1. </w:t>
      </w:r>
      <w:r>
        <w:rPr>
          <w:b/>
          <w:bCs/>
          <w:sz w:val="22"/>
          <w:szCs w:val="22"/>
        </w:rPr>
        <w:t xml:space="preserve">Galvenā līguma izpilde.</w:t>
      </w:r>
      <w:r>
        <w:rPr>
          <w:b w:val="false"/>
          <w:bCs w:val="false"/>
          <w:sz w:val="22"/>
          <w:szCs w:val="22"/>
        </w:rPr>
        <w:t xml:space="preserve"> Ja Galvenais līgums tiek noslēgts pielīgtajā termiņā, rokas nauda </w:t>
      </w:r>
      <w:r>
        <w:rPr>
          <w:b/>
          <w:bCs/>
          <w:sz w:val="22"/>
          <w:szCs w:val="22"/>
        </w:rPr>
        <w:t xml:space="preserve">tiek ieskaitīta Galvenā līguma kopējās cenas izpildē</w:t>
      </w:r>
      <w:r>
        <w:rPr>
          <w:b w:val="false"/>
          <w:bCs w:val="false"/>
          <w:sz w:val="22"/>
          <w:szCs w:val="22"/>
        </w:rPr>
        <w:t xml:space="preserve"> kā tās daļa (Civillikuma 1729. pants), ja vien Puses Galvenajā līgumā nav vienojušās par tās atdošanu Rokas naudas devējam.</w:t>
      </w:r>
    </w:p>
    <w:p>
      <w:pPr>
        <w:spacing w:after="160"/>
      </w:pPr>
      <w:r>
        <w:rPr>
          <w:b w:val="false"/>
          <w:bCs w:val="false"/>
          <w:sz w:val="22"/>
          <w:szCs w:val="22"/>
        </w:rPr>
        <w:t xml:space="preserve">5.2. </w:t>
      </w:r>
      <w:r>
        <w:rPr>
          <w:b/>
          <w:bCs/>
          <w:sz w:val="22"/>
          <w:szCs w:val="22"/>
        </w:rPr>
        <w:t xml:space="preserve">Rokas naudas devēja vaina.</w:t>
      </w:r>
      <w:r>
        <w:rPr>
          <w:b w:val="false"/>
          <w:bCs w:val="false"/>
          <w:sz w:val="22"/>
          <w:szCs w:val="22"/>
        </w:rPr>
        <w:t xml:space="preserve"> Ja Galvenais līgums netiek noslēgts pielīgtajā termiņā Rokas naudas devēja vainas dēļ (tostarp, bet ne tikai, vienpusēja atteikšanās no darījuma, nepamatota Galvenā līguma neparakstīšana, pielīgtās cenas nesamaksāšana), Rokas naudas devējs zaudē tiesību prasīt rokas naudas atmaksu un tā paliek Rokas naudas saņēmēja īpašumā (Civillikuma 1730. panta otrais teikums).</w:t>
      </w:r>
    </w:p>
    <w:p>
      <w:pPr>
        <w:spacing w:after="160"/>
      </w:pPr>
      <w:r>
        <w:rPr>
          <w:b w:val="false"/>
          <w:bCs w:val="false"/>
          <w:sz w:val="22"/>
          <w:szCs w:val="22"/>
        </w:rPr>
        <w:t xml:space="preserve">5.3. </w:t>
      </w:r>
      <w:r>
        <w:rPr>
          <w:b/>
          <w:bCs/>
          <w:sz w:val="22"/>
          <w:szCs w:val="22"/>
        </w:rPr>
        <w:t xml:space="preserve">Rokas naudas saņēmēja vaina.</w:t>
      </w:r>
      <w:r>
        <w:rPr>
          <w:b w:val="false"/>
          <w:bCs w:val="false"/>
          <w:sz w:val="22"/>
          <w:szCs w:val="22"/>
        </w:rPr>
        <w:t xml:space="preserve"> Ja Galvenais līgums netiek noslēgts pielīgtajā termiņā Rokas naudas saņēmēja vainas dēļ (tostarp, bet ne tikai, vienpusēja atteikšanās no darījuma, priekšmeta atsavināšana trešajai personai, neizpaustu apgrūtinājumu atklāšanās, nepamatota Galvenā līguma neparakstīšana), Rokas naudas saņēmējam ir pienākums atdot rokas naudu Rokas naudas devējam </w:t>
      </w:r>
      <w:r>
        <w:rPr>
          <w:b/>
          <w:bCs/>
          <w:sz w:val="22"/>
          <w:szCs w:val="22"/>
        </w:rPr>
        <w:t xml:space="preserve">divkāršā apmērā</w:t>
      </w:r>
      <w:r>
        <w:rPr>
          <w:b w:val="false"/>
          <w:bCs w:val="false"/>
          <w:sz w:val="22"/>
          <w:szCs w:val="22"/>
        </w:rPr>
        <w:t xml:space="preserve"> (Civillikuma 1730. panta otrais teikums).</w:t>
      </w:r>
    </w:p>
    <w:p>
      <w:pPr>
        <w:spacing w:after="160"/>
      </w:pPr>
      <w:r>
        <w:rPr>
          <w:b w:val="false"/>
          <w:bCs w:val="false"/>
          <w:sz w:val="22"/>
          <w:szCs w:val="22"/>
        </w:rPr>
        <w:t xml:space="preserve">5.4. </w:t>
      </w:r>
      <w:r>
        <w:rPr>
          <w:b/>
          <w:bCs/>
          <w:sz w:val="22"/>
          <w:szCs w:val="22"/>
        </w:rPr>
        <w:t xml:space="preserve">Savstarpēja vienošanās un objektīva neiespējamība.</w:t>
      </w:r>
      <w:r>
        <w:rPr>
          <w:b w:val="false"/>
          <w:bCs w:val="false"/>
          <w:sz w:val="22"/>
          <w:szCs w:val="22"/>
        </w:rPr>
        <w:t xml:space="preserve"> Ja Galvenais līgums netiek noslēgts Pušu savstarpējas rakstveida vienošanās rezultātā vai sakarā ar tā izpildīšanas neiespējamību bez Rokas naudas devēja vainas (tostarp nepārvaramas varas dēļ), rokas nauda ir atdodama Rokas naudas devējam pilnā apmērā vienkāršā kārtībā, bez papildu atlīdzības (Civillikuma 1728. un 1730. panta pirmais teikums).</w:t>
      </w:r>
    </w:p>
    <w:p>
      <w:pPr>
        <w:spacing w:after="160"/>
      </w:pPr>
      <w:r>
        <w:rPr>
          <w:b w:val="false"/>
          <w:bCs w:val="false"/>
          <w:sz w:val="22"/>
          <w:szCs w:val="22"/>
        </w:rPr>
        <w:t xml:space="preserve">5.5. </w:t>
      </w:r>
      <w:r>
        <w:rPr>
          <w:b/>
          <w:bCs/>
          <w:sz w:val="22"/>
          <w:szCs w:val="22"/>
        </w:rPr>
        <w:t xml:space="preserve">Atkāpšanās tiesība.</w:t>
      </w:r>
      <w:r>
        <w:rPr>
          <w:b w:val="false"/>
          <w:bCs w:val="false"/>
          <w:sz w:val="22"/>
          <w:szCs w:val="22"/>
        </w:rPr>
        <w:t xml:space="preserve"> Puses ir tiesīgas pielīgt rakstveida pielikumā tiesību atkāpties no šī Līguma, zaudējot rokas naudu vai atdodot to divkāršā apmērā atbilstoši Civillikuma 1731. pantam. Bez šādas atsevišķas vienošanās atkāpšanās tiesība no šī Līguma nav pielīgta un Pušu atbildība tiek vērtēta atbilstoši vainas principam (5.2.–5.4. punkts).</w:t>
      </w:r>
    </w:p>
    <w:p>
      <w:pPr>
        <w:spacing w:after="160"/>
      </w:pPr>
      <w:r>
        <w:rPr>
          <w:b w:val="false"/>
          <w:bCs w:val="false"/>
          <w:sz w:val="22"/>
          <w:szCs w:val="22"/>
        </w:rPr>
        <w:t xml:space="preserve">5.6. Rokas naudas atmaksai šī Līguma 5.3. un 5.4. punkta gadījumos Rokas naudas saņēmējs to veic uz Rokas naudas devēja norādīto kontu </w:t>
      </w:r>
      <w:r>
        <w:rPr>
          <w:b/>
          <w:bCs/>
          <w:sz w:val="22"/>
          <w:szCs w:val="22"/>
        </w:rPr>
        <w:t xml:space="preserve">{{deposit_account}}</w:t>
      </w:r>
      <w:r>
        <w:rPr>
          <w:b w:val="false"/>
          <w:bCs w:val="false"/>
          <w:sz w:val="22"/>
          <w:szCs w:val="22"/>
        </w:rPr>
        <w:t xml:space="preserve"> desmit (10) dienu laikā no apstākļa iestāšanās brīža vai Rokas naudas devēja rakstveida pieprasījuma saņemšanas dienas.</w:t>
      </w:r>
    </w:p>
    <w:p>
      <w:pPr>
        <w:pStyle w:val="Heading1"/>
        <w:spacing w:after="160" w:before="240"/>
      </w:pPr>
      <w:r>
        <w:rPr>
          <w:b/>
          <w:bCs/>
          <w:sz w:val="28"/>
          <w:szCs w:val="28"/>
        </w:rPr>
        <w:t xml:space="preserve">6. ĪPAŠIE NOTEIKUMI</w:t>
      </w:r>
    </w:p>
    <w:p>
      <w:pPr>
        <w:spacing w:after="160"/>
      </w:pPr>
      <w:r>
        <w:rPr>
          <w:b w:val="false"/>
          <w:bCs w:val="false"/>
          <w:sz w:val="22"/>
          <w:szCs w:val="22"/>
        </w:rPr>
        <w:t xml:space="preserve">6.1. </w:t>
      </w:r>
      <w:r>
        <w:rPr>
          <w:b/>
          <w:bCs/>
          <w:sz w:val="22"/>
          <w:szCs w:val="22"/>
        </w:rPr>
        <w:t xml:space="preserve">Finansējuma noteikums.</w:t>
      </w:r>
      <w:r>
        <w:rPr>
          <w:b w:val="false"/>
          <w:bCs w:val="false"/>
          <w:sz w:val="22"/>
          <w:szCs w:val="22"/>
        </w:rPr>
        <w:t xml:space="preserve"> Ja Rokas naudas devējam Galvenā līguma izpildei ir nepieciešams kredīts vai cits ārējs finansējums no </w:t>
      </w:r>
      <w:r>
        <w:rPr>
          <w:b/>
          <w:bCs/>
          <w:sz w:val="22"/>
          <w:szCs w:val="22"/>
        </w:rPr>
        <w:t xml:space="preserve">{{financing_lender}}</w:t>
      </w:r>
      <w:r>
        <w:rPr>
          <w:b w:val="false"/>
          <w:bCs w:val="false"/>
          <w:sz w:val="22"/>
          <w:szCs w:val="22"/>
        </w:rPr>
        <w:t xml:space="preserve"> un finansējums tiek atteikts vai nav saņemts līdz </w:t>
      </w:r>
      <w:r>
        <w:rPr>
          <w:b/>
          <w:bCs/>
          <w:sz w:val="22"/>
          <w:szCs w:val="22"/>
        </w:rPr>
        <w:t xml:space="preserve">{{financing_decision_deadline}}</w:t>
      </w:r>
      <w:r>
        <w:rPr>
          <w:b w:val="false"/>
          <w:bCs w:val="false"/>
          <w:sz w:val="22"/>
          <w:szCs w:val="22"/>
        </w:rPr>
        <w:t xml:space="preserve"> apstākļu dēļ, kas nav atkarīgi no Rokas naudas devēja, šāda situācija uzskatāma par Galvenā līguma izpildes neiespējamību bez Rokas naudas devēja vainas šī Līguma 5.4. punkta izpratnē, un rokas nauda atdodama vienkāršā apmērā. Šim nolūkam Rokas naudas devējs iesniedz Rokas naudas saņēmējam aizdevēja rakstveida atteikumu vai citu pierādījumu.</w:t>
      </w:r>
    </w:p>
    <w:p>
      <w:pPr>
        <w:spacing w:after="160"/>
      </w:pPr>
      <w:r>
        <w:rPr>
          <w:b w:val="false"/>
          <w:bCs w:val="false"/>
          <w:sz w:val="22"/>
          <w:szCs w:val="22"/>
        </w:rPr>
        <w:t xml:space="preserve">6.2. </w:t>
      </w:r>
      <w:r>
        <w:rPr>
          <w:b/>
          <w:bCs/>
          <w:sz w:val="22"/>
          <w:szCs w:val="22"/>
        </w:rPr>
        <w:t xml:space="preserve">Termiņa pagarināšana.</w:t>
      </w:r>
      <w:r>
        <w:rPr>
          <w:b w:val="false"/>
          <w:bCs w:val="false"/>
          <w:sz w:val="22"/>
          <w:szCs w:val="22"/>
        </w:rPr>
        <w:t xml:space="preserve"> Galvenā līguma noslēgšanas termiņš (4.3. punkts) var tikt pagarināts vienīgi ar Pušu rakstveida vienošanos, kas tiek noformēta kā šī Līguma pielikums. Mutiska vienošanās nav saistoša.</w:t>
      </w:r>
    </w:p>
    <w:p>
      <w:pPr>
        <w:spacing w:after="160"/>
      </w:pPr>
      <w:r>
        <w:rPr>
          <w:b w:val="false"/>
          <w:bCs w:val="false"/>
          <w:sz w:val="22"/>
          <w:szCs w:val="22"/>
        </w:rPr>
        <w:t xml:space="preserve">6.3. </w:t>
      </w:r>
      <w:r>
        <w:rPr>
          <w:b/>
          <w:bCs/>
          <w:sz w:val="22"/>
          <w:szCs w:val="22"/>
        </w:rPr>
        <w:t xml:space="preserve">Reāllīguma raksturs.</w:t>
      </w:r>
      <w:r>
        <w:rPr>
          <w:b w:val="false"/>
          <w:bCs w:val="false"/>
          <w:sz w:val="22"/>
          <w:szCs w:val="22"/>
        </w:rPr>
        <w:t xml:space="preserve"> Puses skaidri atzīst, ka rokas naudas pielīgums vien (bez faktiskas naudas nodošanas) nerada saistību (Civillikuma 1727. pants). Šī Līguma 2., 4. un 5. punkta tiesiskās sekas iestājas tikai no brīža, kad rokas nauda faktiski ir saņemta Rokas naudas saņēmēja kontā vai ir izsniegta parakstīta kvīts par tās saņemšanu.</w:t>
      </w:r>
    </w:p>
    <w:p>
      <w:pPr>
        <w:spacing w:after="160"/>
      </w:pPr>
      <w:r>
        <w:rPr>
          <w:b w:val="false"/>
          <w:bCs w:val="false"/>
          <w:sz w:val="22"/>
          <w:szCs w:val="22"/>
        </w:rPr>
        <w:t xml:space="preserve">6.4. </w:t>
      </w:r>
      <w:r>
        <w:rPr>
          <w:b/>
          <w:bCs/>
          <w:sz w:val="22"/>
          <w:szCs w:val="22"/>
        </w:rPr>
        <w:t xml:space="preserve">Saistību simetrija.</w:t>
      </w:r>
      <w:r>
        <w:rPr>
          <w:b w:val="false"/>
          <w:bCs w:val="false"/>
          <w:sz w:val="22"/>
          <w:szCs w:val="22"/>
        </w:rPr>
        <w:t xml:space="preserve"> Puses apliecina, ka šī Līguma noteikumi ir savstarpēji simetriski — abām Pusēm ir paredzētas līdzvērtīgas saistības un atbildība par to neizpildi (5.2. un 5.3. punkts). Ja viena Puse ir patērētājs Patērētāju tiesību aizsardzības likuma izpratnē, šī Līguma noteikumi netiek interpretēti tādā veidā, kas radītu būtisku nelīdzsvarotību par sliktu patērētājam.</w:t>
      </w:r>
    </w:p>
    <w:p>
      <w:pPr>
        <w:spacing w:after="160"/>
      </w:pPr>
      <w:r>
        <w:rPr>
          <w:b w:val="false"/>
          <w:bCs w:val="false"/>
          <w:sz w:val="22"/>
          <w:szCs w:val="22"/>
        </w:rPr>
        <w:t xml:space="preserve">6.5. </w:t>
      </w:r>
      <w:r>
        <w:rPr>
          <w:b/>
          <w:bCs/>
          <w:sz w:val="22"/>
          <w:szCs w:val="22"/>
        </w:rPr>
        <w:t xml:space="preserve">Apliecinošais dokuments.</w:t>
      </w:r>
      <w:r>
        <w:rPr>
          <w:b w:val="false"/>
          <w:bCs w:val="false"/>
          <w:sz w:val="22"/>
          <w:szCs w:val="22"/>
        </w:rPr>
        <w:t xml:space="preserve"> Rokas naudas faktisko nodošanu apliecina bankas pārskaitījuma uzdevums, konta izraksts vai Pušu parakstīta kvīts. Apliecinošais dokuments uzskatāms par šī Līguma neatņemamu sastāvdaļu.</w:t>
      </w:r>
    </w:p>
    <w:p>
      <w:pPr>
        <w:pStyle w:val="Heading1"/>
        <w:spacing w:after="160" w:before="240"/>
      </w:pPr>
      <w:r>
        <w:rPr>
          <w:b/>
          <w:bCs/>
          <w:sz w:val="28"/>
          <w:szCs w:val="28"/>
        </w:rPr>
        <w:t xml:space="preserve">7. NOSLĒGUMA NOTEIKUMI</w:t>
      </w:r>
    </w:p>
    <w:p>
      <w:pPr>
        <w:spacing w:after="160"/>
      </w:pPr>
      <w:r>
        <w:rPr>
          <w:b w:val="false"/>
          <w:bCs w:val="false"/>
          <w:sz w:val="22"/>
          <w:szCs w:val="22"/>
        </w:rPr>
        <w:t xml:space="preserve">7.1. Visi Pušu paziņojumi šī Līguma sakarā tiek nosūtīti rakstveidā uz Pušu 1. punktā norādīto e-pastu vai deklarēto/juridisko adresi. Paziņojums uzskatāms par saņemtu trešajā darba dienā pēc tā nosūtīšanas pa pastu vai nosūtīšanas dienā elektroniskā veidā, ja saņemšana ir tehniski apstiprināta.</w:t>
      </w:r>
    </w:p>
    <w:p>
      <w:pPr>
        <w:spacing w:after="160"/>
      </w:pPr>
      <w:r>
        <w:rPr>
          <w:b w:val="false"/>
          <w:bCs w:val="false"/>
          <w:sz w:val="22"/>
          <w:szCs w:val="22"/>
        </w:rPr>
        <w:t xml:space="preserve">7.2. Strīdus, kas izriet no šī Līguma, Puses risina pārrunu ceļā. Ja vienošanās netiek panākta, strīds nododams izskatīšanai </w:t>
      </w:r>
      <w:r>
        <w:rPr>
          <w:b/>
          <w:bCs/>
          <w:sz w:val="22"/>
          <w:szCs w:val="22"/>
        </w:rPr>
        <w:t xml:space="preserve">{{governing_court}}</w:t>
      </w:r>
      <w:r>
        <w:rPr>
          <w:b w:val="false"/>
          <w:bCs w:val="false"/>
          <w:sz w:val="22"/>
          <w:szCs w:val="22"/>
        </w:rPr>
        <w:t xml:space="preserve"> saskaņā ar </w:t>
      </w:r>
      <w:r>
        <w:rPr>
          <w:b/>
          <w:bCs/>
          <w:sz w:val="22"/>
          <w:szCs w:val="22"/>
        </w:rPr>
        <w:t xml:space="preserve">{{governing_jurisdiction}}</w:t>
      </w:r>
      <w:r>
        <w:rPr>
          <w:b w:val="false"/>
          <w:bCs w:val="false"/>
          <w:sz w:val="22"/>
          <w:szCs w:val="22"/>
        </w:rPr>
        <w:t xml:space="preserve"> spēkā esošajiem normatīvajiem aktiem.</w:t>
      </w:r>
    </w:p>
    <w:p>
      <w:pPr>
        <w:spacing w:after="160"/>
      </w:pPr>
      <w:r>
        <w:rPr>
          <w:b w:val="false"/>
          <w:bCs w:val="false"/>
          <w:sz w:val="22"/>
          <w:szCs w:val="22"/>
        </w:rPr>
        <w:t xml:space="preserve">7.3. Līgumam piemērojami Latvijas Republikas tiesību akti, tostarp Civillikuma 1725.–1731. pants.</w:t>
      </w:r>
    </w:p>
    <w:p>
      <w:pPr>
        <w:spacing w:after="160"/>
      </w:pPr>
      <w:r>
        <w:rPr>
          <w:b w:val="false"/>
          <w:bCs w:val="false"/>
          <w:sz w:val="22"/>
          <w:szCs w:val="22"/>
        </w:rPr>
        <w:t xml:space="preserve">7.4. Līgums sagatavots un parakstīts divos eksemplāros — pa vienam katrai Pusei, abiem eksemplāriem ir vienāds juridisks spēks. Ja Līgums tiek parakstīts ar drošu elektronisko parakstu, Līgums tiek parakstīts vienā elektroniskā eksemplārā, kas saskaņā ar Elektronisko dokumentu likumu un Regulu (ES) Nr. 910/2014 (eIDAS) ir līdzvērtīgs pašrocīgi parakstītam dokumentam.</w:t>
      </w:r>
    </w:p>
    <w:p>
      <w:pPr>
        <w:spacing w:after="160"/>
      </w:pPr>
      <w:r>
        <w:rPr>
          <w:b w:val="false"/>
          <w:bCs w:val="false"/>
          <w:sz w:val="22"/>
          <w:szCs w:val="22"/>
        </w:rPr>
        <w:t xml:space="preserve">7.5. Līgums stājas spēkā tā parakstīšanas dienā un ir spēkā līdz Pušu saistību pilnīgai izpildei vai izbeigšanai šajā Līgumā paredzētajā kārtībā.</w:t>
      </w:r>
    </w:p>
    <w:p>
      <w:pPr>
        <w:spacing w:after="160"/>
      </w:pPr>
      <w:r>
        <w:rPr>
          <w:b w:val="false"/>
          <w:bCs w:val="false"/>
          <w:sz w:val="22"/>
          <w:szCs w:val="22"/>
        </w:rPr>
        <w:t xml:space="preserve">7.6. Visi šī Līguma grozījumi un papildinājumi noformējami rakstveidā kā Līguma pielikumi un stājas spēkā pēc abu Pušu parakstīšanas.</w:t>
      </w:r>
    </w:p>
    <w:p>
      <w:pPr>
        <w:spacing w:after="160"/>
      </w:pPr>
      <w:r>
        <w:rPr>
          <w:b w:val="false"/>
          <w:bCs w:val="false"/>
          <w:sz w:val="22"/>
          <w:szCs w:val="22"/>
        </w:rPr>
        <w:t xml:space="preserve">7.7. Ja kāds no šī Līguma noteikumiem izrādās spēkā neesošs, tas neietekmē pārējo noteikumu spēkā esamību.</w:t>
      </w:r>
    </w:p>
    <w:p>
      <w:pPr>
        <w:pStyle w:val="Heading1"/>
        <w:spacing w:after="160" w:before="240"/>
      </w:pPr>
      <w:r>
        <w:rPr>
          <w:b/>
          <w:bCs/>
          <w:sz w:val="28"/>
          <w:szCs w:val="28"/>
        </w:rPr>
        <w:t xml:space="preserve">PUŠU 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Rokas naudas devējs</w:t>
            </w:r>
          </w:p>
        </w:tc>
        <w:tc>
          <w:tcPr>
            <w:tcW w:type="pct" w:w="33%"/>
            <w:tcMar>
              <w:top w:type="dxa" w:w="80"/>
              <w:left w:type="dxa" w:w="120"/>
              <w:bottom w:type="dxa" w:w="80"/>
              <w:right w:type="dxa" w:w="120"/>
            </w:tcMar>
          </w:tcPr>
          <w:p>
            <w:pPr>
              <w:spacing w:after="40" w:before="40"/>
            </w:pPr>
            <w:r>
              <w:rPr>
                <w:b w:val="false"/>
                <w:bCs w:val="false"/>
                <w:sz w:val="22"/>
                <w:szCs w:val="22"/>
              </w:rPr>
              <w:t xml:space="preserve">Rokas naudas saņēmējs</w:t>
            </w:r>
          </w:p>
        </w:tc>
      </w:tr>
      <w:tr>
        <w:tc>
          <w:tcPr>
            <w:tcW w:type="pct" w:w="33%"/>
            <w:tcMar>
              <w:top w:type="dxa" w:w="80"/>
              <w:left w:type="dxa" w:w="120"/>
              <w:bottom w:type="dxa" w:w="80"/>
              <w:right w:type="dxa" w:w="120"/>
            </w:tcMar>
          </w:tcPr>
          <w:p>
            <w:pPr>
              <w:spacing w:after="40" w:before="40"/>
            </w:pPr>
            <w:r>
              <w:rPr>
                <w:b/>
                <w:bCs/>
                <w:sz w:val="22"/>
                <w:szCs w:val="22"/>
              </w:rPr>
              <w:t xml:space="preserve">Vārds, uzvārds / Nosaukums</w:t>
            </w:r>
          </w:p>
        </w:tc>
        <w:tc>
          <w:tcPr>
            <w:tcW w:type="pct" w:w="33%"/>
            <w:tcMar>
              <w:top w:type="dxa" w:w="80"/>
              <w:left w:type="dxa" w:w="120"/>
              <w:bottom w:type="dxa" w:w="80"/>
              <w:right w:type="dxa" w:w="120"/>
            </w:tcMar>
          </w:tcPr>
          <w:p>
            <w:pPr>
              <w:spacing w:after="40" w:before="40"/>
            </w:pPr>
            <w:r>
              <w:rPr>
                <w:b w:val="false"/>
                <w:bCs w:val="false"/>
                <w:sz w:val="22"/>
                <w:szCs w:val="22"/>
              </w:rPr>
              <w:t xml:space="preserve">{{party_a_name}}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33%"/>
            <w:tcMar>
              <w:top w:type="dxa" w:w="80"/>
              <w:left w:type="dxa" w:w="120"/>
              <w:bottom w:type="dxa" w:w="80"/>
              <w:right w:type="dxa" w:w="120"/>
            </w:tcMar>
          </w:tcPr>
          <w:p>
            <w:pPr>
              <w:spacing w:after="40" w:before="40"/>
            </w:pPr>
            <w:r>
              <w:rPr>
                <w:b/>
                <w:bCs/>
                <w:sz w:val="22"/>
                <w:szCs w:val="22"/>
              </w:rPr>
              <w:t xml:space="preserve">Personas kods / Reģ. Nr.</w:t>
            </w:r>
          </w:p>
        </w:tc>
        <w:tc>
          <w:tcPr>
            <w:tcW w:type="pct" w:w="33%"/>
            <w:tcMar>
              <w:top w:type="dxa" w:w="80"/>
              <w:left w:type="dxa" w:w="120"/>
              <w:bottom w:type="dxa" w:w="80"/>
              <w:right w:type="dxa" w:w="120"/>
            </w:tcMar>
          </w:tcPr>
          <w:p>
            <w:pPr>
              <w:spacing w:after="40" w:before="40"/>
            </w:pPr>
            <w:r>
              <w:rPr>
                <w:b w:val="false"/>
                <w:bCs w:val="false"/>
                <w:sz w:val="22"/>
                <w:szCs w:val="22"/>
              </w:rPr>
              <w:t xml:space="preserve">{{party_a_code}}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Rokasnaudas līguma paraugs</dc:title>
  <dc:creator>Agrello</dc:creator>
  <cp:lastModifiedBy>Un-named</cp:lastModifiedBy>
  <cp:revision>1</cp:revision>
  <dcterms:created xsi:type="dcterms:W3CDTF">2026-05-29T10:04:53.558Z</dcterms:created>
  <dcterms:modified xsi:type="dcterms:W3CDTF">2026-05-29T10:04:53.558Z</dcterms:modified>
</cp:coreProperties>
</file>

<file path=docProps/custom.xml><?xml version="1.0" encoding="utf-8"?>
<Properties xmlns="http://schemas.openxmlformats.org/officeDocument/2006/custom-properties" xmlns:vt="http://schemas.openxmlformats.org/officeDocument/2006/docPropsVTypes"/>
</file>