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TERMINUOTA DARBO SUTARTIS Nr. {{contract_number}}</w:t>
      </w:r>
    </w:p>
    <w:p>
      <w:pPr>
        <w:spacing w:after="160"/>
      </w:pPr>
      <w:r>
        <w:rPr>
          <w:b w:val="false"/>
          <w:bCs w:val="false"/>
          <w:sz w:val="22"/>
          <w:szCs w:val="22"/>
        </w:rPr>
        <w:t xml:space="preserve">{{contract_date}}, {{contract_location}}</w:t>
      </w:r>
    </w:p>
    <w:p>
      <w:pPr>
        <w:pStyle w:val="Heading1"/>
        <w:spacing w:after="160" w:before="240"/>
      </w:pPr>
      <w:r>
        <w:rPr>
          <w:b/>
          <w:bCs/>
          <w:sz w:val="28"/>
          <w:szCs w:val="28"/>
        </w:rPr>
        <w:t xml:space="preserve">1. BENDROSIOS NUOSTATOS</w:t>
      </w:r>
    </w:p>
    <w:p>
      <w:pPr>
        <w:spacing w:after="160"/>
      </w:pPr>
      <w:r>
        <w:rPr>
          <w:b/>
          <w:bCs/>
          <w:sz w:val="22"/>
          <w:szCs w:val="22"/>
        </w:rPr>
        <w:t xml:space="preserve">Darbdavys: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Laukas</w:t>
            </w:r>
          </w:p>
        </w:tc>
        <w:tc>
          <w:tcPr>
            <w:tcW w:type="pct" w:w="50%"/>
            <w:tcMar>
              <w:top w:type="dxa" w:w="80"/>
              <w:left w:type="dxa" w:w="120"/>
              <w:bottom w:type="dxa" w:w="80"/>
              <w:right w:type="dxa" w:w="120"/>
            </w:tcMar>
          </w:tcPr>
          <w:p>
            <w:pPr>
              <w:spacing w:after="40" w:before="40"/>
            </w:pPr>
            <w:r>
              <w:rPr>
                <w:b w:val="false"/>
                <w:bCs w:val="false"/>
                <w:sz w:val="22"/>
                <w:szCs w:val="22"/>
              </w:rPr>
              <w:t xml:space="preserve">Duomenys</w:t>
            </w:r>
          </w:p>
        </w:tc>
      </w:tr>
      <w:tr>
        <w:tc>
          <w:tcPr>
            <w:tcW w:type="pct" w:w="50%"/>
            <w:tcMar>
              <w:top w:type="dxa" w:w="80"/>
              <w:left w:type="dxa" w:w="120"/>
              <w:bottom w:type="dxa" w:w="80"/>
              <w:right w:type="dxa" w:w="120"/>
            </w:tcMar>
          </w:tcPr>
          <w:p>
            <w:pPr>
              <w:spacing w:after="40" w:before="40"/>
            </w:pPr>
            <w:r>
              <w:rPr>
                <w:b/>
                <w:bCs/>
                <w:sz w:val="22"/>
                <w:szCs w:val="22"/>
              </w:rPr>
              <w:t xml:space="preserve">Pavadinimas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{{employer_name}}</w:t>
            </w:r>
          </w:p>
        </w:tc>
      </w:tr>
      <w:tr>
        <w:tc>
          <w:tcPr>
            <w:tcW w:type="pct" w:w="50%"/>
            <w:tcMar>
              <w:top w:type="dxa" w:w="80"/>
              <w:left w:type="dxa" w:w="120"/>
              <w:bottom w:type="dxa" w:w="80"/>
              <w:right w:type="dxa" w:w="120"/>
            </w:tcMar>
          </w:tcPr>
          <w:p>
            <w:pPr>
              <w:spacing w:after="40" w:before="40"/>
            </w:pPr>
            <w:r>
              <w:rPr>
                <w:b/>
                <w:bCs/>
                <w:sz w:val="22"/>
                <w:szCs w:val="22"/>
              </w:rPr>
              <w:t xml:space="preserve">Juridinio asmens kodas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{{employer_reg_code}}</w:t>
            </w:r>
          </w:p>
        </w:tc>
      </w:tr>
      <w:tr>
        <w:tc>
          <w:tcPr>
            <w:tcW w:type="pct" w:w="50%"/>
            <w:tcMar>
              <w:top w:type="dxa" w:w="80"/>
              <w:left w:type="dxa" w:w="120"/>
              <w:bottom w:type="dxa" w:w="80"/>
              <w:right w:type="dxa" w:w="120"/>
            </w:tcMar>
          </w:tcPr>
          <w:p>
            <w:pPr>
              <w:spacing w:after="40" w:before="40"/>
            </w:pPr>
            <w:r>
              <w:rPr>
                <w:b/>
                <w:bCs/>
                <w:sz w:val="22"/>
                <w:szCs w:val="22"/>
              </w:rPr>
              <w:t xml:space="preserve">Buveinės adresas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{{employer_address}}</w:t>
            </w:r>
          </w:p>
        </w:tc>
      </w:tr>
      <w:tr>
        <w:tc>
          <w:tcPr>
            <w:tcW w:type="pct" w:w="50%"/>
            <w:tcMar>
              <w:top w:type="dxa" w:w="80"/>
              <w:left w:type="dxa" w:w="120"/>
              <w:bottom w:type="dxa" w:w="80"/>
              <w:right w:type="dxa" w:w="120"/>
            </w:tcMar>
          </w:tcPr>
          <w:p>
            <w:pPr>
              <w:spacing w:after="40" w:before="40"/>
            </w:pPr>
            <w:r>
              <w:rPr>
                <w:b/>
                <w:bCs/>
                <w:sz w:val="22"/>
                <w:szCs w:val="22"/>
              </w:rPr>
              <w:t xml:space="preserve">Atstovas</w:t>
            </w:r>
          </w:p>
        </w:tc>
        <w:tc>
          <w:tcPr>
            <w:tcW w:type="pct" w:w="50%"/>
            <w:tcMar>
              <w:top w:type="dxa" w:w="80"/>
              <w:left w:type="dxa" w:w="120"/>
              <w:bottom w:type="dxa" w:w="80"/>
              <w:right w:type="dxa" w:w="120"/>
            </w:tcMar>
          </w:tcPr>
          <w:p>
            <w:pPr>
              <w:spacing w:after="40" w:before="40"/>
            </w:pPr>
            <w:r>
              <w:rPr>
                <w:b w:val="false"/>
                <w:bCs w:val="false"/>
                <w:sz w:val="22"/>
                <w:szCs w:val="22"/>
              </w:rPr>
              <w:t xml:space="preserve">{{employer_representative_name}}</w:t>
            </w:r>
          </w:p>
        </w:tc>
      </w:tr>
    </w:tbl>
    <w:p>
      <w:pPr>
        <w:spacing w:after="120"/>
      </w:pPr>
      <w:r>
        <w:rPr>
          <w:sz w:val="22"/>
          <w:szCs w:val="22"/>
        </w:rPr>
        <w:t xml:space="preserve"/>
      </w:r>
    </w:p>
    <w:p>
      <w:pPr>
        <w:spacing w:after="160"/>
      </w:pPr>
      <w:r>
        <w:rPr>
          <w:b/>
          <w:bCs/>
          <w:sz w:val="22"/>
          <w:szCs w:val="22"/>
        </w:rPr>
        <w:t xml:space="preserve">Darbuotojas: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Laukas</w:t>
            </w:r>
          </w:p>
        </w:tc>
        <w:tc>
          <w:tcPr>
            <w:tcW w:type="pct" w:w="50%"/>
            <w:tcMar>
              <w:top w:type="dxa" w:w="80"/>
              <w:left w:type="dxa" w:w="120"/>
              <w:bottom w:type="dxa" w:w="80"/>
              <w:right w:type="dxa" w:w="120"/>
            </w:tcMar>
          </w:tcPr>
          <w:p>
            <w:pPr>
              <w:spacing w:after="40" w:before="40"/>
            </w:pPr>
            <w:r>
              <w:rPr>
                <w:b w:val="false"/>
                <w:bCs w:val="false"/>
                <w:sz w:val="22"/>
                <w:szCs w:val="22"/>
              </w:rPr>
              <w:t xml:space="preserve">Duomenys</w:t>
            </w:r>
          </w:p>
        </w:tc>
      </w:tr>
      <w:tr>
        <w:tc>
          <w:tcPr>
            <w:tcW w:type="pct" w:w="50%"/>
            <w:tcMar>
              <w:top w:type="dxa" w:w="80"/>
              <w:left w:type="dxa" w:w="120"/>
              <w:bottom w:type="dxa" w:w="80"/>
              <w:right w:type="dxa" w:w="120"/>
            </w:tcMar>
          </w:tcPr>
          <w:p>
            <w:pPr>
              <w:spacing w:after="40" w:before="40"/>
            </w:pPr>
            <w:r>
              <w:rPr>
                <w:b/>
                <w:bCs/>
                <w:sz w:val="22"/>
                <w:szCs w:val="22"/>
              </w:rPr>
              <w:t xml:space="preserve">Vardas, pavardė</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{{employee_name}}</w:t>
            </w:r>
          </w:p>
        </w:tc>
      </w:tr>
      <w:tr>
        <w:tc>
          <w:tcPr>
            <w:tcW w:type="pct" w:w="50%"/>
            <w:tcMar>
              <w:top w:type="dxa" w:w="80"/>
              <w:left w:type="dxa" w:w="120"/>
              <w:bottom w:type="dxa" w:w="80"/>
              <w:right w:type="dxa" w:w="120"/>
            </w:tcMar>
          </w:tcPr>
          <w:p>
            <w:pPr>
              <w:spacing w:after="40" w:before="40"/>
            </w:pPr>
            <w:r>
              <w:rPr>
                <w:b/>
                <w:bCs/>
                <w:sz w:val="22"/>
                <w:szCs w:val="22"/>
              </w:rPr>
              <w:t xml:space="preserve">Asmens kodas</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{{employee_id_code}}</w:t>
            </w:r>
          </w:p>
        </w:tc>
      </w:tr>
      <w:tr>
        <w:tc>
          <w:tcPr>
            <w:tcW w:type="pct" w:w="50%"/>
            <w:tcMar>
              <w:top w:type="dxa" w:w="80"/>
              <w:left w:type="dxa" w:w="120"/>
              <w:bottom w:type="dxa" w:w="80"/>
              <w:right w:type="dxa" w:w="120"/>
            </w:tcMar>
          </w:tcPr>
          <w:p>
            <w:pPr>
              <w:spacing w:after="40" w:before="40"/>
            </w:pPr>
            <w:r>
              <w:rPr>
                <w:b/>
                <w:bCs/>
                <w:sz w:val="22"/>
                <w:szCs w:val="22"/>
              </w:rPr>
              <w:t xml:space="preserve">Gyvenamosios vietos adresas</w:t>
            </w:r>
          </w:p>
        </w:tc>
        <w:tc>
          <w:tcPr>
            <w:tcW w:type="pct" w:w="50%"/>
            <w:tcMar>
              <w:top w:type="dxa" w:w="80"/>
              <w:left w:type="dxa" w:w="120"/>
              <w:bottom w:type="dxa" w:w="80"/>
              <w:right w:type="dxa" w:w="120"/>
            </w:tcMar>
          </w:tcPr>
          <w:p>
            <w:pPr>
              <w:spacing w:after="40" w:before="40"/>
            </w:pPr>
            <w:r>
              <w:rPr>
                <w:b w:val="false"/>
                <w:bCs w:val="false"/>
                <w:sz w:val="22"/>
                <w:szCs w:val="22"/>
              </w:rPr>
              <w:t xml:space="preserve">{{employee_address}}</w:t>
            </w:r>
          </w:p>
        </w:tc>
      </w:tr>
    </w:tbl>
    <w:p>
      <w:pPr>
        <w:spacing w:after="120"/>
      </w:pPr>
      <w:r>
        <w:rPr>
          <w:sz w:val="22"/>
          <w:szCs w:val="22"/>
        </w:rPr>
        <w:t xml:space="preserve"/>
      </w:r>
    </w:p>
    <w:p>
      <w:pPr>
        <w:spacing w:after="160"/>
      </w:pPr>
      <w:r>
        <w:rPr>
          <w:b w:val="false"/>
          <w:bCs w:val="false"/>
          <w:sz w:val="22"/>
          <w:szCs w:val="22"/>
        </w:rPr>
        <w:t xml:space="preserve">Darbdavys ir Darbuotojas (toliau — Šalys) sudaro šią terminuotą darbo sutartį (toliau — Sutartis) vadovaudamiesi Lietuvos Respublikos darbo kodekso (toliau — DK) 67 straipsniu.</w:t>
      </w:r>
    </w:p>
    <w:p>
      <w:pPr>
        <w:pStyle w:val="Heading1"/>
        <w:spacing w:after="160" w:before="240"/>
      </w:pPr>
      <w:r>
        <w:rPr>
          <w:b/>
          <w:bCs/>
          <w:sz w:val="28"/>
          <w:szCs w:val="28"/>
        </w:rPr>
        <w:t xml:space="preserve">2. SUTARTIES TERMINAS IR JO PAGRINDAS</w:t>
      </w:r>
    </w:p>
    <w:p>
      <w:pPr>
        <w:spacing w:after="160"/>
      </w:pPr>
      <w:r>
        <w:rPr>
          <w:b w:val="false"/>
          <w:bCs w:val="false"/>
          <w:sz w:val="22"/>
          <w:szCs w:val="22"/>
        </w:rPr>
        <w:t xml:space="preserve">2.1. Ši Sutartis yra terminuota darbo sutartis, sudaroma tam tikram laikui arba tam tikrų darbų atlikimo laikui (DK 67 straipsnis).</w:t>
      </w:r>
    </w:p>
    <w:p>
      <w:pPr>
        <w:spacing w:after="160"/>
      </w:pPr>
      <w:r>
        <w:rPr>
          <w:b w:val="false"/>
          <w:bCs w:val="false"/>
          <w:sz w:val="22"/>
          <w:szCs w:val="22"/>
        </w:rPr>
        <w:t xml:space="preserve">2.2. Sutartis įsigalioja </w:t>
      </w:r>
      <w:r>
        <w:rPr>
          <w:b/>
          <w:bCs/>
          <w:sz w:val="22"/>
          <w:szCs w:val="22"/>
        </w:rPr>
        <w:t xml:space="preserve">{{start_date}}</w:t>
      </w:r>
      <w:r>
        <w:rPr>
          <w:b w:val="false"/>
          <w:bCs w:val="false"/>
          <w:sz w:val="22"/>
          <w:szCs w:val="22"/>
        </w:rPr>
        <w:t xml:space="preserve"> ir baigiasi </w:t>
      </w:r>
      <w:r>
        <w:rPr>
          <w:b/>
          <w:bCs/>
          <w:sz w:val="22"/>
          <w:szCs w:val="22"/>
        </w:rPr>
        <w:t xml:space="preserve">{{contract_end_date}}</w:t>
      </w:r>
      <w:r>
        <w:rPr>
          <w:b w:val="false"/>
          <w:bCs w:val="false"/>
          <w:sz w:val="22"/>
          <w:szCs w:val="22"/>
        </w:rPr>
        <w:t xml:space="preserve">. Jei terminas siejamas su tam tikros užduoties įvykdymu ar aplinkybe, Sutartis baigiasi atsiradus šiai aplinkybei: {{fixed_term_event}}.</w:t>
      </w:r>
    </w:p>
    <w:p>
      <w:pPr>
        <w:spacing w:after="160"/>
      </w:pPr>
      <w:r>
        <w:rPr>
          <w:b w:val="false"/>
          <w:bCs w:val="false"/>
          <w:sz w:val="22"/>
          <w:szCs w:val="22"/>
        </w:rPr>
        <w:t xml:space="preserve">2.3. Terminuotos darbo sutarties sudarymo pagrindas: </w:t>
      </w:r>
      <w:r>
        <w:rPr>
          <w:b/>
          <w:bCs/>
          <w:sz w:val="22"/>
          <w:szCs w:val="22"/>
        </w:rPr>
        <w:t xml:space="preserve">{{fixed_term_reason}}</w:t>
      </w:r>
      <w:r>
        <w:rPr>
          <w:b w:val="false"/>
          <w:bCs w:val="false"/>
          <w:sz w:val="22"/>
          <w:szCs w:val="22"/>
        </w:rPr>
        <w:t xml:space="preserve"> (pavyzdžiui, sezoninis darbas, laikinas darbo apimties padidėjimas arba laikinai nesančio darbuotojo pavadavimas).</w:t>
      </w:r>
    </w:p>
    <w:p>
      <w:pPr>
        <w:spacing w:after="160"/>
      </w:pPr>
      <w:r>
        <w:rPr>
          <w:b w:val="false"/>
          <w:bCs w:val="false"/>
          <w:sz w:val="22"/>
          <w:szCs w:val="22"/>
        </w:rPr>
        <w:t xml:space="preserve">2.4. Maksimalus terminuotos darbo sutarties, taip pat paeiliui einančių terminuotų darbo sutarčių, sudarytų su tuo pačiu darbuotoju tai pačiai darbo funkcijai atlikti, bendras terminas yra dveji metai; sudarytų skirtingoms darbo funkcijoms — ne ilgesnis kaip penkeri metai (DK 68 straipsnio 1 ir 2 dalys).</w:t>
      </w:r>
    </w:p>
    <w:p>
      <w:pPr>
        <w:spacing w:after="160"/>
      </w:pPr>
      <w:r>
        <w:rPr>
          <w:b w:val="false"/>
          <w:bCs w:val="false"/>
          <w:sz w:val="22"/>
          <w:szCs w:val="22"/>
        </w:rPr>
        <w:t xml:space="preserve">2.5. Šio straipsnio 2.4 punkte nurodyti terminų apribojimai netaikomi terminuotoms darbo sutartims, sudarytoms laikinai nesančio darbuotojo pavadavimui (DK 68 straipsnio 3 dalis).</w:t>
      </w:r>
    </w:p>
    <w:p>
      <w:pPr>
        <w:pStyle w:val="Heading1"/>
        <w:spacing w:after="160" w:before="240"/>
      </w:pPr>
      <w:r>
        <w:rPr>
          <w:b/>
          <w:bCs/>
          <w:sz w:val="28"/>
          <w:szCs w:val="28"/>
        </w:rPr>
        <w:t xml:space="preserve">3. DARBUOTOJO PAREIGOS IR TEISĖS</w:t>
      </w:r>
    </w:p>
    <w:p>
      <w:pPr>
        <w:spacing w:after="160"/>
      </w:pPr>
      <w:r>
        <w:rPr>
          <w:b w:val="false"/>
          <w:bCs w:val="false"/>
          <w:sz w:val="22"/>
          <w:szCs w:val="22"/>
        </w:rPr>
        <w:t xml:space="preserve">3.1. Darbuotojas priimamas į pareigas </w:t>
      </w:r>
      <w:r>
        <w:rPr>
          <w:b/>
          <w:bCs/>
          <w:sz w:val="22"/>
          <w:szCs w:val="22"/>
        </w:rPr>
        <w:t xml:space="preserve">{{job_title}}</w:t>
      </w:r>
      <w:r>
        <w:rPr>
          <w:b w:val="false"/>
          <w:bCs w:val="false"/>
          <w:sz w:val="22"/>
          <w:szCs w:val="22"/>
        </w:rPr>
        <w:t xml:space="preserve"> (profesijos klasifikatoriaus kodas {{profession_code}}).</w:t>
      </w:r>
    </w:p>
    <w:p>
      <w:pPr>
        <w:spacing w:after="160"/>
      </w:pPr>
      <w:r>
        <w:rPr>
          <w:b w:val="false"/>
          <w:bCs w:val="false"/>
          <w:sz w:val="22"/>
          <w:szCs w:val="22"/>
        </w:rPr>
        <w:t xml:space="preserve">3.2. Pagrindinės darbo funkcijos:</w:t>
      </w:r>
    </w:p>
    <w:p>
      <w:pPr>
        <w:spacing w:after="160"/>
      </w:pPr>
      <w:r>
        <w:rPr>
          <w:b w:val="false"/>
          <w:bCs w:val="false"/>
          <w:sz w:val="22"/>
          <w:szCs w:val="22"/>
        </w:rPr>
        <w:t xml:space="preserve">{{job_duties}}</w:t>
      </w:r>
    </w:p>
    <w:p>
      <w:pPr>
        <w:spacing w:after="160"/>
      </w:pPr>
      <w:r>
        <w:rPr>
          <w:b w:val="false"/>
          <w:bCs w:val="false"/>
          <w:sz w:val="22"/>
          <w:szCs w:val="22"/>
        </w:rPr>
        <w:t xml:space="preserve">3.3. Darbuotojas įsipareigoja sąžiningai vykdyti darbo funkcijas pagal Darbdavio nurodymus, galiojančius teisės aktus, darbuotojų saugos ir sveikatos reikalavimus bei įmonės vidaus darbo tvarkos taisykles.</w:t>
      </w:r>
    </w:p>
    <w:p>
      <w:pPr>
        <w:spacing w:after="160"/>
      </w:pPr>
      <w:r>
        <w:rPr>
          <w:b w:val="false"/>
          <w:bCs w:val="false"/>
          <w:sz w:val="22"/>
          <w:szCs w:val="22"/>
        </w:rPr>
        <w:t xml:space="preserve">3.4. Darbo vieta: </w:t>
      </w:r>
      <w:r>
        <w:rPr>
          <w:b/>
          <w:bCs/>
          <w:sz w:val="22"/>
          <w:szCs w:val="22"/>
        </w:rPr>
        <w:t xml:space="preserve">{{work_location}}</w:t>
      </w:r>
      <w:r>
        <w:rPr>
          <w:b w:val="false"/>
          <w:bCs w:val="false"/>
          <w:sz w:val="22"/>
          <w:szCs w:val="22"/>
        </w:rPr>
        <w:t xml:space="preserve">.</w:t>
      </w:r>
    </w:p>
    <w:p>
      <w:pPr>
        <w:spacing w:after="160"/>
      </w:pPr>
      <w:r>
        <w:rPr>
          <w:b w:val="false"/>
          <w:bCs w:val="false"/>
          <w:sz w:val="22"/>
          <w:szCs w:val="22"/>
        </w:rPr>
        <w:t xml:space="preserve">3.5. {{remote_work_clause}}</w:t>
      </w:r>
    </w:p>
    <w:p>
      <w:pPr>
        <w:pStyle w:val="Heading1"/>
        <w:spacing w:after="160" w:before="240"/>
      </w:pPr>
      <w:r>
        <w:rPr>
          <w:b/>
          <w:bCs/>
          <w:sz w:val="28"/>
          <w:szCs w:val="28"/>
        </w:rPr>
        <w:t xml:space="preserve">4. DARBO PRADŽIA IR IŠBANDYMAS</w:t>
      </w:r>
    </w:p>
    <w:p>
      <w:pPr>
        <w:spacing w:after="160"/>
      </w:pPr>
      <w:r>
        <w:rPr>
          <w:b w:val="false"/>
          <w:bCs w:val="false"/>
          <w:sz w:val="22"/>
          <w:szCs w:val="22"/>
        </w:rPr>
        <w:t xml:space="preserve">4.1. Darbuotojas pradeda dirbti </w:t>
      </w:r>
      <w:r>
        <w:rPr>
          <w:b/>
          <w:bCs/>
          <w:sz w:val="22"/>
          <w:szCs w:val="22"/>
        </w:rPr>
        <w:t xml:space="preserve">{{start_date}}</w:t>
      </w:r>
      <w:r>
        <w:rPr>
          <w:b w:val="false"/>
          <w:bCs w:val="false"/>
          <w:sz w:val="22"/>
          <w:szCs w:val="22"/>
        </w:rPr>
        <w:t xml:space="preserve">.</w:t>
      </w:r>
    </w:p>
    <w:p>
      <w:pPr>
        <w:spacing w:after="160"/>
      </w:pPr>
      <w:r>
        <w:rPr>
          <w:b w:val="false"/>
          <w:bCs w:val="false"/>
          <w:sz w:val="22"/>
          <w:szCs w:val="22"/>
        </w:rPr>
        <w:t xml:space="preserve">4.2. Šalys susitaria dėl išbandymo termino, kuris yra </w:t>
      </w:r>
      <w:r>
        <w:rPr>
          <w:b/>
          <w:bCs/>
          <w:sz w:val="22"/>
          <w:szCs w:val="22"/>
        </w:rPr>
        <w:t xml:space="preserve">{{probation_period}}</w:t>
      </w:r>
      <w:r>
        <w:rPr>
          <w:b w:val="false"/>
          <w:bCs w:val="false"/>
          <w:sz w:val="22"/>
          <w:szCs w:val="22"/>
        </w:rPr>
        <w:t xml:space="preserve">, bet ne ilgesnis kaip trys mėnesiai (DK 36 straipsnio 2 dalis). Išbandymo termino pratęsti negalima.</w:t>
      </w:r>
    </w:p>
    <w:p>
      <w:pPr>
        <w:spacing w:after="160"/>
      </w:pPr>
      <w:r>
        <w:rPr>
          <w:b w:val="false"/>
          <w:bCs w:val="false"/>
          <w:sz w:val="22"/>
          <w:szCs w:val="22"/>
        </w:rPr>
        <w:t xml:space="preserve">4.3. Išbandymo laikotarpiu bet kuri Šalis gali nutraukti Sutartį, apie tai raštu įspėdama kitą Šalį prieš tris darbo dienas (DK 36 straipsnio 3 ir 4 dalys).</w:t>
      </w:r>
    </w:p>
    <w:p>
      <w:pPr>
        <w:pStyle w:val="Heading1"/>
        <w:spacing w:after="160" w:before="240"/>
      </w:pPr>
      <w:r>
        <w:rPr>
          <w:b/>
          <w:bCs/>
          <w:sz w:val="28"/>
          <w:szCs w:val="28"/>
        </w:rPr>
        <w:t xml:space="preserve">5. DARBO LAIKAS</w:t>
      </w:r>
    </w:p>
    <w:p>
      <w:pPr>
        <w:spacing w:after="160"/>
      </w:pPr>
      <w:r>
        <w:rPr>
          <w:b w:val="false"/>
          <w:bCs w:val="false"/>
          <w:sz w:val="22"/>
          <w:szCs w:val="22"/>
        </w:rPr>
        <w:t xml:space="preserve">5.1. Darbuotojui nustatoma darbo laiko norma — keturiasdešimt valandų per savaitę (DK 112 straipsnio 3 dalis), jei Šalys nesusitaria kitaip.</w:t>
      </w:r>
    </w:p>
    <w:p>
      <w:pPr>
        <w:spacing w:after="160"/>
      </w:pPr>
      <w:r>
        <w:rPr>
          <w:b w:val="false"/>
          <w:bCs w:val="false"/>
          <w:sz w:val="22"/>
          <w:szCs w:val="22"/>
        </w:rPr>
        <w:t xml:space="preserve">5.2. Sutartas darbo laikas: </w:t>
      </w:r>
      <w:r>
        <w:rPr>
          <w:b/>
          <w:bCs/>
          <w:sz w:val="22"/>
          <w:szCs w:val="22"/>
        </w:rPr>
        <w:t xml:space="preserve">{{working_hours_per_week}} valandos per savaitę</w:t>
      </w:r>
      <w:r>
        <w:rPr>
          <w:b w:val="false"/>
          <w:bCs w:val="false"/>
          <w:sz w:val="22"/>
          <w:szCs w:val="22"/>
        </w:rPr>
        <w:t xml:space="preserve">.</w:t>
      </w:r>
    </w:p>
    <w:p>
      <w:pPr>
        <w:spacing w:after="160"/>
      </w:pPr>
      <w:r>
        <w:rPr>
          <w:b w:val="false"/>
          <w:bCs w:val="false"/>
          <w:sz w:val="22"/>
          <w:szCs w:val="22"/>
        </w:rPr>
        <w:t xml:space="preserve">5.3. Darbo dienos ir darbo laiko pradžia bei pabaiga: </w:t>
      </w:r>
      <w:r>
        <w:rPr>
          <w:b/>
          <w:bCs/>
          <w:sz w:val="22"/>
          <w:szCs w:val="22"/>
        </w:rPr>
        <w:t xml:space="preserve">{{work_schedule}}</w:t>
      </w:r>
      <w:r>
        <w:rPr>
          <w:b w:val="false"/>
          <w:bCs w:val="false"/>
          <w:sz w:val="22"/>
          <w:szCs w:val="22"/>
        </w:rPr>
        <w:t xml:space="preserve"> (pavyzdžiui, pirmadienis–penktadienis nuo 9.00 iki 17.00 val.).</w:t>
      </w:r>
    </w:p>
    <w:p>
      <w:pPr>
        <w:spacing w:after="160"/>
      </w:pPr>
      <w:r>
        <w:rPr>
          <w:b w:val="false"/>
          <w:bCs w:val="false"/>
          <w:sz w:val="22"/>
          <w:szCs w:val="22"/>
        </w:rPr>
        <w:t xml:space="preserve">5.4. Viršvalandinis darbas galimas tik raštu susitarus su Darbuotoju ir apmokamas pagal DK 144 straipsnį.</w:t>
      </w:r>
    </w:p>
    <w:p>
      <w:pPr>
        <w:pStyle w:val="Heading1"/>
        <w:spacing w:after="160" w:before="240"/>
      </w:pPr>
      <w:r>
        <w:rPr>
          <w:b/>
          <w:bCs/>
          <w:sz w:val="28"/>
          <w:szCs w:val="28"/>
        </w:rPr>
        <w:t xml:space="preserve">6. DARBO UŽMOKESTIS</w:t>
      </w:r>
    </w:p>
    <w:p>
      <w:pPr>
        <w:spacing w:after="160"/>
      </w:pPr>
      <w:r>
        <w:rPr>
          <w:b w:val="false"/>
          <w:bCs w:val="false"/>
          <w:sz w:val="22"/>
          <w:szCs w:val="22"/>
        </w:rPr>
        <w:t xml:space="preserve">6.1. Darbuotojui nustatomas mėnesinis darbo užmokestis </w:t>
      </w:r>
      <w:r>
        <w:rPr>
          <w:b/>
          <w:bCs/>
          <w:sz w:val="22"/>
          <w:szCs w:val="22"/>
        </w:rPr>
        <w:t xml:space="preserve">{{gross_salary}} EUR (bruto)</w:t>
      </w:r>
      <w:r>
        <w:rPr>
          <w:b w:val="false"/>
          <w:bCs w:val="false"/>
          <w:sz w:val="22"/>
          <w:szCs w:val="22"/>
        </w:rPr>
        <w:t xml:space="preserve">.</w:t>
      </w:r>
    </w:p>
    <w:p>
      <w:pPr>
        <w:spacing w:after="160"/>
      </w:pPr>
      <w:r>
        <w:rPr>
          <w:b w:val="false"/>
          <w:bCs w:val="false"/>
          <w:sz w:val="22"/>
          <w:szCs w:val="22"/>
        </w:rPr>
        <w:t xml:space="preserve">6.2. Darbo užmokestis nėra mažesnis už Lietuvos Respublikos Vyriausybės nustatytą minimalią mėnesinę algą.</w:t>
      </w:r>
    </w:p>
    <w:p>
      <w:pPr>
        <w:spacing w:after="160"/>
      </w:pPr>
      <w:r>
        <w:rPr>
          <w:b w:val="false"/>
          <w:bCs w:val="false"/>
          <w:sz w:val="22"/>
          <w:szCs w:val="22"/>
        </w:rPr>
        <w:t xml:space="preserve">6.3. Darbo užmokestis mokamas vieną kartą per mėnesį, ne vėliau kaip </w:t>
      </w:r>
      <w:r>
        <w:rPr>
          <w:b/>
          <w:bCs/>
          <w:sz w:val="22"/>
          <w:szCs w:val="22"/>
        </w:rPr>
        <w:t xml:space="preserve">{{payment_date}}. dieną</w:t>
      </w:r>
      <w:r>
        <w:rPr>
          <w:b w:val="false"/>
          <w:bCs w:val="false"/>
          <w:sz w:val="22"/>
          <w:szCs w:val="22"/>
        </w:rPr>
        <w:t xml:space="preserve">, pervedant į Darbuotojo banko sąskaitą {{employee_bank_account}}.</w:t>
      </w:r>
    </w:p>
    <w:p>
      <w:pPr>
        <w:spacing w:after="160"/>
      </w:pPr>
      <w:r>
        <w:rPr>
          <w:b w:val="false"/>
          <w:bCs w:val="false"/>
          <w:sz w:val="22"/>
          <w:szCs w:val="22"/>
        </w:rPr>
        <w:t xml:space="preserve">6.4. Darbdavys iš darbo užmokesčio išskaičiuoja ir sumoka visus teisės aktuose numatytus mokesčius ir socialinio draudimo įmokas.</w:t>
      </w:r>
    </w:p>
    <w:p>
      <w:pPr>
        <w:spacing w:after="160"/>
      </w:pPr>
      <w:r>
        <w:rPr>
          <w:b w:val="false"/>
          <w:bCs w:val="false"/>
          <w:sz w:val="22"/>
          <w:szCs w:val="22"/>
        </w:rPr>
        <w:t xml:space="preserve">6.5. {{bonus_clause}}</w:t>
      </w:r>
    </w:p>
    <w:p>
      <w:pPr>
        <w:pStyle w:val="Heading1"/>
        <w:spacing w:after="160" w:before="240"/>
      </w:pPr>
      <w:r>
        <w:rPr>
          <w:b/>
          <w:bCs/>
          <w:sz w:val="28"/>
          <w:szCs w:val="28"/>
        </w:rPr>
        <w:t xml:space="preserve">7. KASMETINĖS ATOSTOGOS</w:t>
      </w:r>
    </w:p>
    <w:p>
      <w:pPr>
        <w:spacing w:after="160"/>
      </w:pPr>
      <w:r>
        <w:rPr>
          <w:b w:val="false"/>
          <w:bCs w:val="false"/>
          <w:sz w:val="22"/>
          <w:szCs w:val="22"/>
        </w:rPr>
        <w:t xml:space="preserve">7.1. Darbuotojui suteikiamos kasmetinės apmokamos atostogos, kurių trukmė — ne mažiau kaip </w:t>
      </w:r>
      <w:r>
        <w:rPr>
          <w:b/>
          <w:bCs/>
          <w:sz w:val="22"/>
          <w:szCs w:val="22"/>
        </w:rPr>
        <w:t xml:space="preserve">20 darbo dienų</w:t>
      </w:r>
      <w:r>
        <w:rPr>
          <w:b w:val="false"/>
          <w:bCs w:val="false"/>
          <w:sz w:val="22"/>
          <w:szCs w:val="22"/>
        </w:rPr>
        <w:t xml:space="preserve"> (kai dirbama penkias darbo dienas per savaitę), skaičiuojant darbo dienomis (DK 126 straipsnis).</w:t>
      </w:r>
    </w:p>
    <w:p>
      <w:pPr>
        <w:spacing w:after="160"/>
      </w:pPr>
      <w:r>
        <w:rPr>
          <w:b w:val="false"/>
          <w:bCs w:val="false"/>
          <w:sz w:val="22"/>
          <w:szCs w:val="22"/>
        </w:rPr>
        <w:t xml:space="preserve">7.2. Terminuotas darbo pobūdis nemažina Darbuotojui priklausančių kasmetinių atostogų trukmės. Darbuotojui, dirbančiam pagal terminuotą sutartį, taikomos tokios pat sąlygos kaip ir dirbančiam pagal neterminuotą sutartį.</w:t>
      </w:r>
    </w:p>
    <w:p>
      <w:pPr>
        <w:spacing w:after="160"/>
      </w:pPr>
      <w:r>
        <w:rPr>
          <w:b w:val="false"/>
          <w:bCs w:val="false"/>
          <w:sz w:val="22"/>
          <w:szCs w:val="22"/>
        </w:rPr>
        <w:t xml:space="preserve">7.3. Nutraukiant Sutartį, už nepanaudotas kasmetines atostogas Darbuotojui išmokama piniginė kompensacija (DK 127 straipsnio 5 dalis).</w:t>
      </w:r>
    </w:p>
    <w:p>
      <w:pPr>
        <w:spacing w:after="160"/>
      </w:pPr>
      <w:r>
        <w:rPr>
          <w:b w:val="false"/>
          <w:bCs w:val="false"/>
          <w:sz w:val="22"/>
          <w:szCs w:val="22"/>
        </w:rPr>
        <w:t xml:space="preserve">7.4. Atostoginiai skaičiuojami remiantis Darbuotojo vidutiniu darbo užmokesčiu.</w:t>
      </w:r>
    </w:p>
    <w:p>
      <w:pPr>
        <w:pStyle w:val="Heading1"/>
        <w:spacing w:after="160" w:before="240"/>
      </w:pPr>
      <w:r>
        <w:rPr>
          <w:b/>
          <w:bCs/>
          <w:sz w:val="28"/>
          <w:szCs w:val="28"/>
        </w:rPr>
        <w:t xml:space="preserve">8. KONFIDENCIALUMAS IR KOMERCINĖ PASLAPTIS</w:t>
      </w:r>
    </w:p>
    <w:p>
      <w:pPr>
        <w:spacing w:after="160"/>
      </w:pPr>
      <w:r>
        <w:rPr>
          <w:b w:val="false"/>
          <w:bCs w:val="false"/>
          <w:sz w:val="22"/>
          <w:szCs w:val="22"/>
        </w:rPr>
        <w:t xml:space="preserve">8.1. Darbuotojas įsipareigoja neatskleisti informacijos, kuri jam tapo žinoma atliekant darbo funkcijas ir kurią Darbdavys laiko konfidencialia ar komercine paslaptimi, įskaitant:</w:t>
      </w:r>
    </w:p>
    <w:p>
      <w:pPr>
        <w:pStyle w:val="ListParagraph"/>
        <w:numPr>
          <w:ilvl w:val="0"/>
          <w:numId w:val="1"/>
        </w:numPr>
        <w:spacing w:after="120"/>
      </w:pPr>
      <w:r>
        <w:rPr>
          <w:b w:val="false"/>
          <w:bCs w:val="false"/>
          <w:sz w:val="22"/>
          <w:szCs w:val="22"/>
        </w:rPr>
        <w:t xml:space="preserve">komercines paslaptis ir know-how;</w:t>
      </w:r>
    </w:p>
    <w:p>
      <w:pPr>
        <w:pStyle w:val="ListParagraph"/>
        <w:numPr>
          <w:ilvl w:val="0"/>
          <w:numId w:val="1"/>
        </w:numPr>
        <w:spacing w:after="120"/>
      </w:pPr>
      <w:r>
        <w:rPr>
          <w:b w:val="false"/>
          <w:bCs w:val="false"/>
          <w:sz w:val="22"/>
          <w:szCs w:val="22"/>
        </w:rPr>
        <w:t xml:space="preserve">klientų duomenis ir sutarčių sąlygas;</w:t>
      </w:r>
    </w:p>
    <w:p>
      <w:pPr>
        <w:pStyle w:val="ListParagraph"/>
        <w:numPr>
          <w:ilvl w:val="0"/>
          <w:numId w:val="1"/>
        </w:numPr>
        <w:spacing w:after="120"/>
      </w:pPr>
      <w:r>
        <w:rPr>
          <w:b w:val="false"/>
          <w:bCs w:val="false"/>
          <w:sz w:val="22"/>
          <w:szCs w:val="22"/>
        </w:rPr>
        <w:t xml:space="preserve">finansinę informaciją ir verslo planus;</w:t>
      </w:r>
    </w:p>
    <w:p>
      <w:pPr>
        <w:pStyle w:val="ListParagraph"/>
        <w:numPr>
          <w:ilvl w:val="0"/>
          <w:numId w:val="1"/>
        </w:numPr>
        <w:spacing w:after="120"/>
      </w:pPr>
      <w:r>
        <w:rPr>
          <w:b w:val="false"/>
          <w:bCs w:val="false"/>
          <w:sz w:val="22"/>
          <w:szCs w:val="22"/>
        </w:rPr>
        <w:t xml:space="preserve">kitą Darbdavio nurodytą konfidencialią informaciją.</w:t>
      </w:r>
    </w:p>
    <w:p>
      <w:pPr>
        <w:spacing w:after="160"/>
      </w:pPr>
      <w:r>
        <w:rPr>
          <w:b w:val="false"/>
          <w:bCs w:val="false"/>
          <w:sz w:val="22"/>
          <w:szCs w:val="22"/>
        </w:rPr>
        <w:t xml:space="preserve">8.2. Konfidencialumo įsipareigojimas galioja darbo sutarties galiojimo laikotarpiu ir </w:t>
      </w:r>
      <w:r>
        <w:rPr>
          <w:b/>
          <w:bCs/>
          <w:sz w:val="22"/>
          <w:szCs w:val="22"/>
        </w:rPr>
        <w:t xml:space="preserve">{{confidentiality_period}}</w:t>
      </w:r>
      <w:r>
        <w:rPr>
          <w:b w:val="false"/>
          <w:bCs w:val="false"/>
          <w:sz w:val="22"/>
          <w:szCs w:val="22"/>
        </w:rPr>
        <w:t xml:space="preserve"> po darbo santykių pasibaigimo.</w:t>
      </w:r>
    </w:p>
    <w:p>
      <w:pPr>
        <w:spacing w:after="160"/>
      </w:pPr>
      <w:r>
        <w:rPr>
          <w:b w:val="false"/>
          <w:bCs w:val="false"/>
          <w:sz w:val="22"/>
          <w:szCs w:val="22"/>
        </w:rPr>
        <w:t xml:space="preserve">8.3. Konfidencialumo pareiga netaikoma viešai prieinamai informacijai arba informacijai, kurios atskleidimas privalomas pagal įstatymą.</w:t>
      </w:r>
    </w:p>
    <w:p>
      <w:pPr>
        <w:pStyle w:val="Heading1"/>
        <w:spacing w:after="160" w:before="240"/>
      </w:pPr>
      <w:r>
        <w:rPr>
          <w:b/>
          <w:bCs/>
          <w:sz w:val="28"/>
          <w:szCs w:val="28"/>
        </w:rPr>
        <w:t xml:space="preserve">9. ŠALIŲ ATSAKOMYBĖ</w:t>
      </w:r>
    </w:p>
    <w:p>
      <w:pPr>
        <w:spacing w:after="160"/>
      </w:pPr>
      <w:r>
        <w:rPr>
          <w:b w:val="false"/>
          <w:bCs w:val="false"/>
          <w:sz w:val="22"/>
          <w:szCs w:val="22"/>
        </w:rPr>
        <w:t xml:space="preserve">9.1. Sutartį pažeidusi Šalis atsako kitai Šaliai už padarytą žalą pagal DK ir kitus galiojančius teisės aktus.</w:t>
      </w:r>
    </w:p>
    <w:p>
      <w:pPr>
        <w:spacing w:after="160"/>
      </w:pPr>
      <w:r>
        <w:rPr>
          <w:b w:val="false"/>
          <w:bCs w:val="false"/>
          <w:sz w:val="22"/>
          <w:szCs w:val="22"/>
        </w:rPr>
        <w:t xml:space="preserve">9.2. Darbuotojo materialinė atsakomybė už Darbdaviui padarytą žalą nustatoma pagal DK 151–157 straipsnius.</w:t>
      </w:r>
    </w:p>
    <w:p>
      <w:pPr>
        <w:pStyle w:val="Heading1"/>
        <w:spacing w:after="160" w:before="240"/>
      </w:pPr>
      <w:r>
        <w:rPr>
          <w:b/>
          <w:bCs/>
          <w:sz w:val="28"/>
          <w:szCs w:val="28"/>
        </w:rPr>
        <w:t xml:space="preserve">10. SUTARTIES KEITIMAS IR PAEILIUI EINANČIOS SUTARTYS</w:t>
      </w:r>
    </w:p>
    <w:p>
      <w:pPr>
        <w:spacing w:after="160"/>
      </w:pPr>
      <w:r>
        <w:rPr>
          <w:b w:val="false"/>
          <w:bCs w:val="false"/>
          <w:sz w:val="22"/>
          <w:szCs w:val="22"/>
        </w:rPr>
        <w:t xml:space="preserve">10.1. Sutartis, įskaitant jos terminą, gali būti keičiama tik raštišku Šalių susitarimu.</w:t>
      </w:r>
    </w:p>
    <w:p>
      <w:pPr>
        <w:spacing w:after="160"/>
      </w:pPr>
      <w:r>
        <w:rPr>
          <w:b w:val="false"/>
          <w:bCs w:val="false"/>
          <w:sz w:val="22"/>
          <w:szCs w:val="22"/>
        </w:rPr>
        <w:t xml:space="preserve">10.2. Jeigu terminuotos darbo sutarties ar paeiliui einančių terminuotų darbo sutarčių, sudarytų su tuo pačiu darbuotoju, terminas viršija DK 68 straipsnyje nustatytus maksimalius terminus, Sutartis tampa neterminuota (DK 69 straipsnio 2 dalis ir DK 68 straipsnis).</w:t>
      </w:r>
    </w:p>
    <w:p>
      <w:pPr>
        <w:spacing w:after="160"/>
      </w:pPr>
      <w:r>
        <w:rPr>
          <w:b w:val="false"/>
          <w:bCs w:val="false"/>
          <w:sz w:val="22"/>
          <w:szCs w:val="22"/>
        </w:rPr>
        <w:t xml:space="preserve">10.3. Darbdavys informuoja Darbuotoją apie laisvas neterminuoto darbo vietas, atitinkančias jo kvalifikaciją, sudarydamas galimybę pereiti į neterminuotą darbą.</w:t>
      </w:r>
    </w:p>
    <w:p>
      <w:pPr>
        <w:pStyle w:val="Heading1"/>
        <w:spacing w:after="160" w:before="240"/>
      </w:pPr>
      <w:r>
        <w:rPr>
          <w:b/>
          <w:bCs/>
          <w:sz w:val="28"/>
          <w:szCs w:val="28"/>
        </w:rPr>
        <w:t xml:space="preserve">11. SUTARTIES PASIBAIGIMAS</w:t>
      </w:r>
    </w:p>
    <w:p>
      <w:pPr>
        <w:spacing w:after="160"/>
      </w:pPr>
      <w:r>
        <w:rPr>
          <w:b w:val="false"/>
          <w:bCs w:val="false"/>
          <w:sz w:val="22"/>
          <w:szCs w:val="22"/>
        </w:rPr>
        <w:t xml:space="preserve">11.1. Terminuota darbo sutartis pasibaigia suėjus jos terminui (DK 69 straipsnio 1 dalis).</w:t>
      </w:r>
    </w:p>
    <w:p>
      <w:pPr>
        <w:spacing w:after="160"/>
      </w:pPr>
      <w:r>
        <w:rPr>
          <w:b w:val="false"/>
          <w:bCs w:val="false"/>
          <w:sz w:val="22"/>
          <w:szCs w:val="22"/>
        </w:rPr>
        <w:t xml:space="preserve">11.2. Jeigu darbo santykiai pagal terminuotą darbo sutartį faktiškai tęsiasi ilgiau kaip vieną darbo dieną po sutarties termino pabaigos, ši sutartis tampa neterminuota (DK 69 straipsnio 2 dalis).</w:t>
      </w:r>
    </w:p>
    <w:p>
      <w:pPr>
        <w:spacing w:after="160"/>
      </w:pPr>
      <w:r>
        <w:rPr>
          <w:b w:val="false"/>
          <w:bCs w:val="false"/>
          <w:sz w:val="22"/>
          <w:szCs w:val="22"/>
        </w:rPr>
        <w:t xml:space="preserve">11.3. Kai darbo santykiai pagal terminuotą sutartį tęsiasi ilgiau kaip vienus metus, Darbdavys raštu įspėja Darbuotoją apie darbo sutarties pasibaigimą ne vėliau kaip prieš penkias darbo dienas, o kai tęsiasi ilgiau kaip trejus metus — ne vėliau kaip prieš dešimt darbo dienų (DK 69 straipsnio 3 dalis).</w:t>
      </w:r>
    </w:p>
    <w:p>
      <w:pPr>
        <w:spacing w:after="160"/>
      </w:pPr>
      <w:r>
        <w:rPr>
          <w:b w:val="false"/>
          <w:bCs w:val="false"/>
          <w:sz w:val="22"/>
          <w:szCs w:val="22"/>
        </w:rPr>
        <w:t xml:space="preserve">11.4. Darbuotojui, kuris pagal terminuotą darbo sutartį dirbo ilgiau kaip dvejus metus, sutarčiai pasibaigus suėjus terminui, išmokama vieno mėnesio jo vidutinio darbo užmokesčio dydžio išeitinė išmoka teisės aktų nustatyta tvarka (DK 69 straipsnio 6 dalis).</w:t>
      </w:r>
    </w:p>
    <w:p>
      <w:pPr>
        <w:spacing w:after="160"/>
      </w:pPr>
      <w:r>
        <w:rPr>
          <w:b w:val="false"/>
          <w:bCs w:val="false"/>
          <w:sz w:val="22"/>
          <w:szCs w:val="22"/>
        </w:rPr>
        <w:t xml:space="preserve">11.5. Darbuotojas gali nutraukti Sutartį savo iniciatyva be svarbių priežasčių, apie tai raštu pranešdamas Darbdaviui ne vėliau kaip prieš </w:t>
      </w:r>
      <w:r>
        <w:rPr>
          <w:b/>
          <w:bCs/>
          <w:sz w:val="22"/>
          <w:szCs w:val="22"/>
        </w:rPr>
        <w:t xml:space="preserve">dvidešimt kalendorinių dienų</w:t>
      </w:r>
      <w:r>
        <w:rPr>
          <w:b w:val="false"/>
          <w:bCs w:val="false"/>
          <w:sz w:val="22"/>
          <w:szCs w:val="22"/>
        </w:rPr>
        <w:t xml:space="preserve"> (DK 55 straipsnio 1 dalis).</w:t>
      </w:r>
    </w:p>
    <w:p>
      <w:pPr>
        <w:spacing w:after="160"/>
      </w:pPr>
      <w:r>
        <w:rPr>
          <w:b w:val="false"/>
          <w:bCs w:val="false"/>
          <w:sz w:val="22"/>
          <w:szCs w:val="22"/>
        </w:rPr>
        <w:t xml:space="preserve">11.6. Sutarties nutraukimas turi būti įformintas raštu.</w:t>
      </w:r>
    </w:p>
    <w:p>
      <w:pPr>
        <w:pStyle w:val="Heading1"/>
        <w:spacing w:after="160" w:before="240"/>
      </w:pPr>
      <w:r>
        <w:rPr>
          <w:b/>
          <w:bCs/>
          <w:sz w:val="28"/>
          <w:szCs w:val="28"/>
        </w:rPr>
        <w:t xml:space="preserve">12. BAIGIAMOSIOS NUOSTATOS</w:t>
      </w:r>
    </w:p>
    <w:p>
      <w:pPr>
        <w:spacing w:after="160"/>
      </w:pPr>
      <w:r>
        <w:rPr>
          <w:b w:val="false"/>
          <w:bCs w:val="false"/>
          <w:sz w:val="22"/>
          <w:szCs w:val="22"/>
        </w:rPr>
        <w:t xml:space="preserve">12.1. Šiai Sutarčiai taikoma Lietuvos Respublikos teisė, ypač Lietuvos Respublikos darbo kodeksas.</w:t>
      </w:r>
    </w:p>
    <w:p>
      <w:pPr>
        <w:spacing w:after="160"/>
      </w:pPr>
      <w:r>
        <w:rPr>
          <w:b w:val="false"/>
          <w:bCs w:val="false"/>
          <w:sz w:val="22"/>
          <w:szCs w:val="22"/>
        </w:rPr>
        <w:t xml:space="preserve">12.2. Šios Sutarties pasirašymas saugiu elektroniniu parašu (įskaitant eIDAS reglamentą atitinkantį kvalifikuotą elektroninį parašą) turi tokią pat teisinę galią kaip ir rašytinis parašas pagal Lietuvos Respublikos ir Europos Sąjungos teisės aktus.</w:t>
      </w:r>
    </w:p>
    <w:p>
      <w:pPr>
        <w:spacing w:after="160"/>
      </w:pPr>
      <w:r>
        <w:rPr>
          <w:b w:val="false"/>
          <w:bCs w:val="false"/>
          <w:sz w:val="22"/>
          <w:szCs w:val="22"/>
        </w:rPr>
        <w:t xml:space="preserve">12.3. Visi ginčai, kylantys iš šios Sutarties, sprendžiami derybomis. Nepavykus susitarti, ginčai sprendžiami Lietuvos Respublikos teismuose.</w:t>
      </w:r>
    </w:p>
    <w:p>
      <w:pPr>
        <w:spacing w:after="160"/>
      </w:pPr>
      <w:r>
        <w:rPr>
          <w:b w:val="false"/>
          <w:bCs w:val="false"/>
          <w:sz w:val="22"/>
          <w:szCs w:val="22"/>
        </w:rPr>
        <w:t xml:space="preserve">12.4. Sutartis sudaryta dviem egzemplioriais lietuvių kalba, po vieną kiekvienai Šaliai. Elektroniniu būdu pasirašyti egzemplioriai turi vienodą teisinę galią.</w:t>
      </w:r>
    </w:p>
    <w:p>
      <w:pPr>
        <w:pStyle w:val="Heading1"/>
        <w:spacing w:after="160" w:before="240"/>
      </w:pPr>
      <w:r>
        <w:rPr>
          <w:b/>
          <w:bCs/>
          <w:sz w:val="28"/>
          <w:szCs w:val="28"/>
        </w:rPr>
        <w:t xml:space="preserve">PARAŠAI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Darbdavys</w:t>
            </w:r>
          </w:p>
        </w:tc>
        <w:tc>
          <w:tcPr>
            <w:tcW w:type="pct" w:w="33%"/>
            <w:tcMar>
              <w:top w:type="dxa" w:w="80"/>
              <w:left w:type="dxa" w:w="120"/>
              <w:bottom w:type="dxa" w:w="80"/>
              <w:right w:type="dxa" w:w="120"/>
            </w:tcMar>
          </w:tcPr>
          <w:p>
            <w:pPr>
              <w:spacing w:after="40" w:before="40"/>
            </w:pPr>
            <w:r>
              <w:rPr>
                <w:b w:val="false"/>
                <w:bCs w:val="false"/>
                <w:sz w:val="22"/>
                <w:szCs w:val="22"/>
              </w:rPr>
              <w:t xml:space="preserve">Darbuotojas</w:t>
            </w:r>
          </w:p>
        </w:tc>
      </w:tr>
      <w:tr>
        <w:tc>
          <w:tcPr>
            <w:tcW w:type="pct" w:w="33%"/>
            <w:tcMar>
              <w:top w:type="dxa" w:w="80"/>
              <w:left w:type="dxa" w:w="120"/>
              <w:bottom w:type="dxa" w:w="80"/>
              <w:right w:type="dxa" w:w="120"/>
            </w:tcMar>
          </w:tcPr>
          <w:p>
            <w:pPr>
              <w:spacing w:after="40" w:before="40"/>
            </w:pPr>
            <w:r>
              <w:rPr>
                <w:b/>
                <w:bCs/>
                <w:sz w:val="22"/>
                <w:szCs w:val="22"/>
              </w:rPr>
              <w:t xml:space="preserve">Vardas, pavardė</w:t>
            </w:r>
          </w:p>
        </w:tc>
        <w:tc>
          <w:tcPr>
            <w:tcW w:type="pct" w:w="33%"/>
            <w:tcMar>
              <w:top w:type="dxa" w:w="80"/>
              <w:left w:type="dxa" w:w="120"/>
              <w:bottom w:type="dxa" w:w="80"/>
              <w:right w:type="dxa" w:w="120"/>
            </w:tcMar>
          </w:tcPr>
          <w:p>
            <w:pPr>
              <w:spacing w:after="40" w:before="40"/>
            </w:pPr>
            <w:r>
              <w:rPr>
                <w:b w:val="false"/>
                <w:bCs w:val="false"/>
                <w:sz w:val="22"/>
                <w:szCs w:val="22"/>
              </w:rPr>
              <w:t xml:space="preserve">{{employer_representative_name}}</w:t>
            </w:r>
          </w:p>
        </w:tc>
        <w:tc>
          <w:tcPr>
            <w:tcW w:type="pct" w:w="33%"/>
            <w:tcMar>
              <w:top w:type="dxa" w:w="80"/>
              <w:left w:type="dxa" w:w="120"/>
              <w:bottom w:type="dxa" w:w="80"/>
              <w:right w:type="dxa" w:w="120"/>
            </w:tcMar>
          </w:tcPr>
          <w:p>
            <w:pPr>
              <w:spacing w:after="40" w:before="40"/>
            </w:pPr>
            <w:r>
              <w:rPr>
                <w:b w:val="false"/>
                <w:bCs w:val="false"/>
                <w:sz w:val="22"/>
                <w:szCs w:val="22"/>
              </w:rPr>
              <w:t xml:space="preserve">{{employee_name}}</w:t>
            </w:r>
          </w:p>
        </w:tc>
      </w:tr>
      <w:tr>
        <w:tc>
          <w:tcPr>
            <w:tcW w:type="pct" w:w="33%"/>
            <w:tcMar>
              <w:top w:type="dxa" w:w="80"/>
              <w:left w:type="dxa" w:w="120"/>
              <w:bottom w:type="dxa" w:w="80"/>
              <w:right w:type="dxa" w:w="120"/>
            </w:tcMar>
          </w:tcPr>
          <w:p>
            <w:pPr>
              <w:spacing w:after="40" w:before="40"/>
            </w:pPr>
            <w:r>
              <w:rPr>
                <w:b/>
                <w:bCs/>
                <w:sz w:val="22"/>
                <w:szCs w:val="22"/>
              </w:rPr>
              <w:t xml:space="preserve">Pareigos</w:t>
            </w:r>
          </w:p>
        </w:tc>
        <w:tc>
          <w:tcPr>
            <w:tcW w:type="pct" w:w="33%"/>
            <w:tcMar>
              <w:top w:type="dxa" w:w="80"/>
              <w:left w:type="dxa" w:w="120"/>
              <w:bottom w:type="dxa" w:w="80"/>
              <w:right w:type="dxa" w:w="120"/>
            </w:tcMar>
          </w:tcPr>
          <w:p>
            <w:pPr>
              <w:spacing w:after="40" w:before="40"/>
            </w:pPr>
            <w:r>
              <w:rPr>
                <w:b w:val="false"/>
                <w:bCs w:val="false"/>
                <w:sz w:val="22"/>
                <w:szCs w:val="22"/>
              </w:rPr>
              <w:t xml:space="preserve">{{employer_representative_title}}</w:t>
            </w:r>
          </w:p>
        </w:tc>
        <w:tc>
          <w:tcPr>
            <w:tcW w:type="pct" w:w="33%"/>
            <w:tcMar>
              <w:top w:type="dxa" w:w="80"/>
              <w:left w:type="dxa" w:w="120"/>
              <w:bottom w:type="dxa" w:w="80"/>
              <w:right w:type="dxa" w:w="120"/>
            </w:tcMar>
          </w:tcPr>
          <w:p>
            <w:pPr>
              <w:spacing w:after="40" w:before="40"/>
            </w:pPr>
            <w:r>
              <w:rPr>
                <w:b w:val="false"/>
                <w:bCs w:val="false"/>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Parašas</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Data</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Terminuota darbo sutartis</dc:title>
  <dc:creator>Agrello</dc:creator>
  <cp:lastModifiedBy>Un-named</cp:lastModifiedBy>
  <cp:revision>1</cp:revision>
  <dcterms:created xsi:type="dcterms:W3CDTF">2026-07-04T18:08:33.260Z</dcterms:created>
  <dcterms:modified xsi:type="dcterms:W3CDTF">2026-07-04T18:08:33.260Z</dcterms:modified>
</cp:coreProperties>
</file>

<file path=docProps/custom.xml><?xml version="1.0" encoding="utf-8"?>
<Properties xmlns="http://schemas.openxmlformats.org/officeDocument/2006/custom-properties" xmlns:vt="http://schemas.openxmlformats.org/officeDocument/2006/docPropsVTypes"/>
</file>